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6D2C3600" w:rsidR="0075069C" w:rsidRPr="00572BF7" w:rsidRDefault="0075069C" w:rsidP="006272FF">
      <w:pPr>
        <w:pStyle w:val="aff2"/>
        <w:jc w:val="both"/>
        <w:rPr>
          <w:rFonts w:eastAsia="宋体"/>
          <w:lang w:eastAsia="zh-CN"/>
        </w:rPr>
      </w:pPr>
      <w:bookmarkStart w:id="0" w:name="_Hlk212365857"/>
      <w:bookmarkStart w:id="1" w:name="_Ref399006623"/>
      <w:bookmarkStart w:id="2"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1F7BAB">
        <w:rPr>
          <w:rFonts w:eastAsia="宋体"/>
          <w:lang w:eastAsia="zh-CN"/>
        </w:rPr>
        <w:t xml:space="preserve">7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DB7508" w:rsidRPr="00DB7508">
        <w:t>R4-2520322</w:t>
      </w:r>
    </w:p>
    <w:p w14:paraId="3CFF5B60" w14:textId="046E5270" w:rsidR="00675C27" w:rsidRPr="00444A16" w:rsidRDefault="001F7BAB" w:rsidP="006272FF">
      <w:pPr>
        <w:pStyle w:val="aff2"/>
        <w:jc w:val="both"/>
        <w:rPr>
          <w:rFonts w:eastAsia="宋体"/>
          <w:lang w:eastAsia="zh-CN"/>
        </w:rPr>
      </w:pPr>
      <w:r>
        <w:rPr>
          <w:rFonts w:eastAsia="宋体" w:hint="eastAsia"/>
          <w:lang w:eastAsia="zh-CN"/>
        </w:rPr>
        <w:t>Dallas</w:t>
      </w:r>
      <w:r w:rsidR="00B143F9" w:rsidRPr="00B143F9">
        <w:rPr>
          <w:rFonts w:eastAsia="宋体"/>
          <w:lang w:eastAsia="zh-CN"/>
        </w:rPr>
        <w:t xml:space="preserve">, </w:t>
      </w:r>
      <w:r>
        <w:rPr>
          <w:rFonts w:eastAsia="宋体" w:hint="eastAsia"/>
          <w:lang w:eastAsia="zh-CN"/>
        </w:rPr>
        <w:t>USA</w:t>
      </w:r>
      <w:r w:rsidR="00B143F9" w:rsidRPr="00B143F9">
        <w:rPr>
          <w:rFonts w:eastAsia="宋体"/>
          <w:lang w:eastAsia="zh-CN"/>
        </w:rPr>
        <w:t xml:space="preserve">, </w:t>
      </w:r>
      <w:r>
        <w:rPr>
          <w:rFonts w:eastAsia="宋体"/>
          <w:lang w:eastAsia="zh-CN"/>
        </w:rPr>
        <w:t>Nov</w:t>
      </w:r>
      <w:r w:rsidR="00B143F9" w:rsidRPr="00B143F9">
        <w:rPr>
          <w:rFonts w:eastAsia="宋体"/>
          <w:lang w:eastAsia="zh-CN"/>
        </w:rPr>
        <w:t xml:space="preserve"> </w:t>
      </w:r>
      <w:r w:rsidR="007626FC">
        <w:rPr>
          <w:rFonts w:eastAsia="宋体"/>
          <w:lang w:eastAsia="zh-CN"/>
        </w:rPr>
        <w:t>1</w:t>
      </w:r>
      <w:r>
        <w:rPr>
          <w:rFonts w:eastAsia="宋体"/>
          <w:lang w:eastAsia="zh-CN"/>
        </w:rPr>
        <w:t>7</w:t>
      </w:r>
      <w:r w:rsidR="00B143F9" w:rsidRPr="00B143F9">
        <w:rPr>
          <w:rFonts w:eastAsia="宋体"/>
          <w:lang w:eastAsia="zh-CN"/>
        </w:rPr>
        <w:t xml:space="preserve"> – </w:t>
      </w:r>
      <w:r>
        <w:rPr>
          <w:rFonts w:eastAsia="宋体"/>
          <w:lang w:eastAsia="zh-CN"/>
        </w:rPr>
        <w:t>21</w:t>
      </w:r>
      <w:r w:rsidR="00B143F9" w:rsidRPr="00B143F9">
        <w:rPr>
          <w:rFonts w:eastAsia="宋体"/>
          <w:lang w:eastAsia="zh-CN"/>
        </w:rPr>
        <w:t>, 202</w:t>
      </w:r>
      <w:r w:rsidR="007626FC">
        <w:rPr>
          <w:rFonts w:eastAsia="宋体"/>
          <w:lang w:eastAsia="zh-CN"/>
        </w:rPr>
        <w:t>5</w:t>
      </w:r>
    </w:p>
    <w:bookmarkEnd w:id="0"/>
    <w:p w14:paraId="2B614592" w14:textId="77777777" w:rsidR="00F71A33" w:rsidRPr="00F71A3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528311A"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7508">
        <w:rPr>
          <w:rFonts w:ascii="Arial" w:hAnsi="Arial" w:cs="Arial"/>
          <w:sz w:val="22"/>
        </w:rPr>
        <w:t>On</w:t>
      </w:r>
      <w:r w:rsidR="00903DFB" w:rsidRPr="00903DFB">
        <w:rPr>
          <w:rFonts w:ascii="Arial" w:hAnsi="Arial" w:cs="Arial"/>
          <w:sz w:val="22"/>
        </w:rPr>
        <w:t>n system parameters for 6G —— Channel bandwidth</w:t>
      </w:r>
    </w:p>
    <w:p w14:paraId="1F9DFD8D" w14:textId="094E97D0"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E5500D">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78E64231" w:rsidR="008F73C8" w:rsidRDefault="008F73C8" w:rsidP="008F73C8">
      <w:pPr>
        <w:jc w:val="both"/>
      </w:pPr>
      <w:r>
        <w:t xml:space="preserve">6G </w:t>
      </w:r>
      <w:r w:rsidR="00750041">
        <w:t>system parameters have been discussed extensively in last RAN4 meeting</w:t>
      </w:r>
      <w:r>
        <w:t xml:space="preserve"> [1], and </w:t>
      </w:r>
      <w:r w:rsidR="00750041">
        <w:t>WF was agreed in [2]</w:t>
      </w:r>
      <w:r>
        <w:t>.</w:t>
      </w:r>
    </w:p>
    <w:p w14:paraId="4ED2B7B4" w14:textId="1C827693"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 system parameters for 6G</w:t>
      </w:r>
      <w:r w:rsidR="00903DFB">
        <w:rPr>
          <w:lang w:val="x-none"/>
        </w:rPr>
        <w:t xml:space="preserve"> on channel bandwidth, including max CBW, min CBW, numerology</w:t>
      </w:r>
      <w:r w:rsidR="009D45A5">
        <w:rPr>
          <w:lang w:val="x-none"/>
        </w:rPr>
        <w:t xml:space="preserve">, </w:t>
      </w:r>
      <w:r w:rsidR="00903DFB">
        <w:rPr>
          <w:lang w:val="x-none"/>
        </w:rPr>
        <w:t>spectrum utilization</w:t>
      </w:r>
      <w:r w:rsidR="009D45A5">
        <w:rPr>
          <w:lang w:val="x-none"/>
        </w:rPr>
        <w:t xml:space="preserve"> and flexible channel bandwidth, etc</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6237BEE7" w14:textId="6AFCE20C" w:rsidR="005369EE" w:rsidRDefault="001A6230" w:rsidP="007626FC">
      <w:pPr>
        <w:pStyle w:val="2"/>
        <w:spacing w:after="240"/>
        <w:rPr>
          <w:rFonts w:eastAsiaTheme="minorEastAsia"/>
          <w:lang w:val="en-US" w:eastAsia="zh-CN"/>
        </w:rPr>
      </w:pPr>
      <w:r>
        <w:rPr>
          <w:rFonts w:eastAsiaTheme="minorEastAsia" w:hint="eastAsia"/>
          <w:lang w:val="en-US" w:eastAsia="zh-CN"/>
        </w:rPr>
        <w:t>C</w:t>
      </w:r>
      <w:r>
        <w:rPr>
          <w:rFonts w:eastAsiaTheme="minorEastAsia"/>
          <w:lang w:val="en-US" w:eastAsia="zh-CN"/>
        </w:rPr>
        <w:t>hannel bandwidth</w:t>
      </w:r>
    </w:p>
    <w:p w14:paraId="0278D5DB" w14:textId="050E9EBF" w:rsidR="001A6230" w:rsidRDefault="00D41F49" w:rsidP="00D41F49">
      <w:pPr>
        <w:pStyle w:val="3"/>
      </w:pPr>
      <w:r>
        <w:t>Max channel bandwidth</w:t>
      </w:r>
    </w:p>
    <w:p w14:paraId="6AAD6036" w14:textId="251FDFD2" w:rsidR="00463702" w:rsidRDefault="00463702" w:rsidP="00463702">
      <w:pPr>
        <w:jc w:val="both"/>
        <w:rPr>
          <w:bCs/>
          <w:iCs/>
          <w:lang w:val="en-US"/>
        </w:rPr>
      </w:pPr>
      <w:bookmarkStart w:id="3" w:name="_Hlk212397650"/>
      <w:r>
        <w:rPr>
          <w:bCs/>
          <w:iCs/>
          <w:lang w:val="en-US"/>
        </w:rPr>
        <w:t>RAN4 agreement on max channel bandwi</w:t>
      </w:r>
      <w:r w:rsidR="005C5502">
        <w:rPr>
          <w:bCs/>
          <w:iCs/>
          <w:lang w:val="en-US"/>
        </w:rPr>
        <w:t>d</w:t>
      </w:r>
      <w:r>
        <w:rPr>
          <w:bCs/>
          <w:iCs/>
          <w:lang w:val="en-US"/>
        </w:rPr>
        <w:t>th is excerpted as below</w:t>
      </w:r>
      <w:r w:rsidRPr="00AB7075">
        <w:rPr>
          <w:bCs/>
          <w:iCs/>
          <w:lang w:val="en-US"/>
        </w:rPr>
        <w:t>.</w:t>
      </w:r>
      <w:bookmarkEnd w:id="3"/>
    </w:p>
    <w:tbl>
      <w:tblPr>
        <w:tblStyle w:val="aff"/>
        <w:tblW w:w="0" w:type="auto"/>
        <w:tblLook w:val="04A0" w:firstRow="1" w:lastRow="0" w:firstColumn="1" w:lastColumn="0" w:noHBand="0" w:noVBand="1"/>
      </w:tblPr>
      <w:tblGrid>
        <w:gridCol w:w="9631"/>
      </w:tblGrid>
      <w:tr w:rsidR="00CA278A" w14:paraId="6EE65AC0" w14:textId="77777777" w:rsidTr="00CA278A">
        <w:tc>
          <w:tcPr>
            <w:tcW w:w="9631" w:type="dxa"/>
          </w:tcPr>
          <w:p w14:paraId="5981E371" w14:textId="61F1487E" w:rsidR="00CA278A" w:rsidRPr="00CA278A" w:rsidRDefault="00150AB6" w:rsidP="00CA278A">
            <w:pPr>
              <w:overflowPunct/>
              <w:autoSpaceDE/>
              <w:autoSpaceDN/>
              <w:adjustRightInd/>
              <w:spacing w:after="120"/>
              <w:textAlignment w:val="auto"/>
              <w:rPr>
                <w:szCs w:val="24"/>
                <w:highlight w:val="green"/>
              </w:rPr>
            </w:pPr>
            <w:r>
              <w:rPr>
                <w:szCs w:val="24"/>
                <w:highlight w:val="green"/>
              </w:rPr>
              <w:t xml:space="preserve">RAN4 </w:t>
            </w:r>
            <w:r w:rsidR="00CA278A" w:rsidRPr="00CA278A">
              <w:rPr>
                <w:szCs w:val="24"/>
                <w:highlight w:val="green"/>
              </w:rPr>
              <w:t>Agreement</w:t>
            </w:r>
          </w:p>
          <w:p w14:paraId="76209E3A" w14:textId="76D6C941" w:rsidR="00CA278A" w:rsidRPr="00CA278A" w:rsidRDefault="00CA278A" w:rsidP="00CA278A">
            <w:pPr>
              <w:overflowPunct/>
              <w:autoSpaceDE/>
              <w:autoSpaceDN/>
              <w:adjustRightInd/>
              <w:spacing w:after="0"/>
              <w:jc w:val="both"/>
              <w:textAlignment w:val="auto"/>
              <w:rPr>
                <w:szCs w:val="24"/>
              </w:rPr>
            </w:pPr>
            <w:r w:rsidRPr="00CA278A">
              <w:rPr>
                <w:szCs w:val="24"/>
              </w:rPr>
              <w:t>In the absence of RAN1 agreements, RAN4 could conduct preliminary assessments of the RF feasibility for the candidate maximum channel bandwidths.</w:t>
            </w:r>
          </w:p>
          <w:p w14:paraId="5C62FB66" w14:textId="77777777" w:rsidR="00CA278A" w:rsidRPr="00CA278A" w:rsidRDefault="00CA278A" w:rsidP="00CA278A">
            <w:pPr>
              <w:numPr>
                <w:ilvl w:val="1"/>
                <w:numId w:val="18"/>
              </w:numPr>
              <w:overflowPunct/>
              <w:autoSpaceDE/>
              <w:autoSpaceDN/>
              <w:adjustRightInd/>
              <w:spacing w:after="0"/>
              <w:ind w:leftChars="351" w:left="1062"/>
              <w:jc w:val="both"/>
              <w:textAlignment w:val="auto"/>
              <w:rPr>
                <w:szCs w:val="24"/>
              </w:rPr>
            </w:pPr>
            <w:r w:rsidRPr="00CA278A">
              <w:rPr>
                <w:szCs w:val="24"/>
              </w:rPr>
              <w:t>RF performance evaluation with proposed max CBW</w:t>
            </w:r>
          </w:p>
          <w:p w14:paraId="5C535A49" w14:textId="77777777" w:rsidR="00CA278A" w:rsidRPr="00CA278A" w:rsidRDefault="00CA278A" w:rsidP="00CA278A">
            <w:pPr>
              <w:numPr>
                <w:ilvl w:val="2"/>
                <w:numId w:val="18"/>
              </w:numPr>
              <w:overflowPunct/>
              <w:autoSpaceDE/>
              <w:autoSpaceDN/>
              <w:adjustRightInd/>
              <w:spacing w:after="0"/>
              <w:ind w:leftChars="711" w:left="1782"/>
              <w:jc w:val="both"/>
              <w:textAlignment w:val="auto"/>
              <w:rPr>
                <w:szCs w:val="24"/>
              </w:rPr>
            </w:pPr>
            <w:r w:rsidRPr="00CA278A">
              <w:rPr>
                <w:szCs w:val="24"/>
              </w:rPr>
              <w:t>Identify the prioritized max CBW scenarios (e.g., TDD/FDD, frequency ranges) for evaluation</w:t>
            </w:r>
          </w:p>
          <w:p w14:paraId="04BB8162" w14:textId="77777777" w:rsidR="00CA278A" w:rsidRPr="00CA278A" w:rsidRDefault="00CA278A" w:rsidP="00CA278A">
            <w:pPr>
              <w:numPr>
                <w:ilvl w:val="2"/>
                <w:numId w:val="18"/>
              </w:numPr>
              <w:overflowPunct/>
              <w:autoSpaceDE/>
              <w:autoSpaceDN/>
              <w:adjustRightInd/>
              <w:spacing w:after="0"/>
              <w:ind w:leftChars="711" w:left="1782"/>
              <w:jc w:val="both"/>
              <w:textAlignment w:val="auto"/>
              <w:rPr>
                <w:szCs w:val="24"/>
              </w:rPr>
            </w:pPr>
            <w:r w:rsidRPr="00CA278A">
              <w:rPr>
                <w:szCs w:val="24"/>
              </w:rPr>
              <w:t xml:space="preserve">From transmitter perspective, evaluate the feasibility of meeting out-of-band emission requirements </w:t>
            </w:r>
          </w:p>
          <w:p w14:paraId="285F3E6E" w14:textId="77777777" w:rsidR="00CA278A" w:rsidRPr="00CA278A" w:rsidRDefault="00CA278A" w:rsidP="00CA278A">
            <w:pPr>
              <w:numPr>
                <w:ilvl w:val="2"/>
                <w:numId w:val="18"/>
              </w:numPr>
              <w:overflowPunct/>
              <w:autoSpaceDE/>
              <w:autoSpaceDN/>
              <w:adjustRightInd/>
              <w:spacing w:after="0"/>
              <w:ind w:leftChars="711" w:left="1782"/>
              <w:jc w:val="both"/>
              <w:textAlignment w:val="auto"/>
              <w:rPr>
                <w:szCs w:val="24"/>
              </w:rPr>
            </w:pPr>
            <w:r w:rsidRPr="00CA278A">
              <w:rPr>
                <w:szCs w:val="24"/>
              </w:rPr>
              <w:t>From receiver perspective, study the impact on reference sensitivity, blocking, and ACS when receiving these wide carriers</w:t>
            </w:r>
          </w:p>
          <w:p w14:paraId="68EAD3C8" w14:textId="77777777" w:rsidR="00CA278A" w:rsidRPr="00CA278A" w:rsidRDefault="00CA278A" w:rsidP="00CA278A">
            <w:pPr>
              <w:numPr>
                <w:ilvl w:val="2"/>
                <w:numId w:val="18"/>
              </w:numPr>
              <w:overflowPunct/>
              <w:autoSpaceDE/>
              <w:autoSpaceDN/>
              <w:adjustRightInd/>
              <w:spacing w:after="0"/>
              <w:ind w:leftChars="711" w:left="1782"/>
              <w:jc w:val="both"/>
              <w:textAlignment w:val="auto"/>
              <w:rPr>
                <w:szCs w:val="24"/>
              </w:rPr>
            </w:pPr>
            <w:r w:rsidRPr="00CA278A">
              <w:rPr>
                <w:rFonts w:hint="eastAsia"/>
                <w:szCs w:val="24"/>
              </w:rPr>
              <w:t>5</w:t>
            </w:r>
            <w:r w:rsidRPr="00CA278A">
              <w:rPr>
                <w:szCs w:val="24"/>
              </w:rPr>
              <w:t>G NR requirements could be considered as baseline for the evaluation on existing frequency bands, FFS for the new spectrum</w:t>
            </w:r>
          </w:p>
          <w:p w14:paraId="13CB86FC" w14:textId="77777777" w:rsidR="00CA278A" w:rsidRPr="00CA278A" w:rsidRDefault="00CA278A" w:rsidP="00CA278A">
            <w:pPr>
              <w:numPr>
                <w:ilvl w:val="2"/>
                <w:numId w:val="18"/>
              </w:numPr>
              <w:overflowPunct/>
              <w:autoSpaceDE/>
              <w:autoSpaceDN/>
              <w:adjustRightInd/>
              <w:spacing w:after="0"/>
              <w:ind w:leftChars="711" w:left="1782"/>
              <w:jc w:val="both"/>
              <w:textAlignment w:val="auto"/>
              <w:rPr>
                <w:szCs w:val="24"/>
              </w:rPr>
            </w:pPr>
            <w:r w:rsidRPr="00CA278A">
              <w:rPr>
                <w:szCs w:val="24"/>
              </w:rPr>
              <w:t xml:space="preserve">The large CBW study can take into consideration on the potential spectrum availability for re-farming spectrum as well as the regulatory and WRC discussion of new 6G spectrum. </w:t>
            </w:r>
          </w:p>
          <w:p w14:paraId="02063789" w14:textId="77777777" w:rsidR="00CA278A" w:rsidRPr="00CA278A" w:rsidRDefault="00CA278A" w:rsidP="00CA278A">
            <w:pPr>
              <w:numPr>
                <w:ilvl w:val="2"/>
                <w:numId w:val="18"/>
              </w:numPr>
              <w:overflowPunct/>
              <w:autoSpaceDE/>
              <w:autoSpaceDN/>
              <w:adjustRightInd/>
              <w:spacing w:after="0"/>
              <w:ind w:leftChars="711" w:left="1782"/>
              <w:jc w:val="both"/>
              <w:textAlignment w:val="auto"/>
              <w:rPr>
                <w:szCs w:val="24"/>
              </w:rPr>
            </w:pPr>
            <w:r w:rsidRPr="00CA278A">
              <w:rPr>
                <w:szCs w:val="24"/>
              </w:rPr>
              <w:t xml:space="preserve">Assess the implementation feasibility and complexity and power consumption </w:t>
            </w:r>
          </w:p>
          <w:p w14:paraId="438D28E8" w14:textId="77777777" w:rsidR="00CA278A" w:rsidRPr="00CA278A" w:rsidRDefault="00CA278A" w:rsidP="00CA278A">
            <w:pPr>
              <w:numPr>
                <w:ilvl w:val="2"/>
                <w:numId w:val="18"/>
              </w:numPr>
              <w:overflowPunct/>
              <w:autoSpaceDE/>
              <w:autoSpaceDN/>
              <w:adjustRightInd/>
              <w:spacing w:after="0"/>
              <w:ind w:leftChars="711" w:left="1782"/>
              <w:jc w:val="both"/>
              <w:textAlignment w:val="auto"/>
              <w:rPr>
                <w:szCs w:val="24"/>
              </w:rPr>
            </w:pPr>
            <w:r w:rsidRPr="00CA278A">
              <w:rPr>
                <w:szCs w:val="24"/>
              </w:rPr>
              <w:t xml:space="preserve">Compare implementation options, </w:t>
            </w:r>
            <w:bookmarkStart w:id="4" w:name="_Hlk210985483"/>
            <w:r w:rsidRPr="00CA278A">
              <w:rPr>
                <w:szCs w:val="24"/>
              </w:rPr>
              <w:t>e.g., for cases like 200</w:t>
            </w:r>
            <w:r w:rsidRPr="00CA278A">
              <w:rPr>
                <w:rFonts w:hint="eastAsia"/>
                <w:szCs w:val="24"/>
              </w:rPr>
              <w:t>MHz</w:t>
            </w:r>
            <w:r w:rsidRPr="00CA278A">
              <w:rPr>
                <w:szCs w:val="24"/>
              </w:rPr>
              <w:t>/400 MHz, evaluate the RF performance and implementation trade-offs of the different proposed UE architectures (e.g., single 16K FFT vs. multi-FFT vs. CA)</w:t>
            </w:r>
            <w:bookmarkEnd w:id="4"/>
            <w:r w:rsidRPr="00CA278A">
              <w:rPr>
                <w:szCs w:val="24"/>
              </w:rPr>
              <w:t>. The evaluation cases also depend on the discussion in RAN1.</w:t>
            </w:r>
          </w:p>
          <w:p w14:paraId="19673795" w14:textId="77777777" w:rsidR="00CA278A" w:rsidRPr="00CA278A" w:rsidRDefault="00CA278A" w:rsidP="00CA278A">
            <w:pPr>
              <w:numPr>
                <w:ilvl w:val="2"/>
                <w:numId w:val="18"/>
              </w:numPr>
              <w:overflowPunct/>
              <w:autoSpaceDE/>
              <w:autoSpaceDN/>
              <w:adjustRightInd/>
              <w:spacing w:after="0"/>
              <w:ind w:leftChars="711" w:left="1782"/>
              <w:jc w:val="both"/>
              <w:textAlignment w:val="auto"/>
              <w:rPr>
                <w:szCs w:val="24"/>
              </w:rPr>
            </w:pPr>
            <w:r w:rsidRPr="00CA278A">
              <w:rPr>
                <w:szCs w:val="24"/>
              </w:rPr>
              <w:t>Study the feasibility to support different NW and UE max CBW.</w:t>
            </w:r>
          </w:p>
          <w:p w14:paraId="27CC1DCE" w14:textId="77777777" w:rsidR="00CA278A" w:rsidRPr="00CA278A" w:rsidRDefault="00CA278A" w:rsidP="00CA278A">
            <w:pPr>
              <w:numPr>
                <w:ilvl w:val="1"/>
                <w:numId w:val="18"/>
              </w:numPr>
              <w:overflowPunct/>
              <w:autoSpaceDE/>
              <w:autoSpaceDN/>
              <w:adjustRightInd/>
              <w:spacing w:after="0"/>
              <w:ind w:leftChars="351" w:left="1062"/>
              <w:jc w:val="both"/>
              <w:textAlignment w:val="auto"/>
              <w:rPr>
                <w:szCs w:val="24"/>
              </w:rPr>
            </w:pPr>
            <w:r w:rsidRPr="00CA278A">
              <w:rPr>
                <w:szCs w:val="24"/>
              </w:rPr>
              <w:t>Collaborate with RAN1 on feasibility findings</w:t>
            </w:r>
          </w:p>
          <w:p w14:paraId="447245A3" w14:textId="2ADB92EF" w:rsidR="00CA278A" w:rsidRPr="00CA278A" w:rsidRDefault="00CA278A" w:rsidP="00CA278A">
            <w:pPr>
              <w:numPr>
                <w:ilvl w:val="2"/>
                <w:numId w:val="18"/>
              </w:numPr>
              <w:overflowPunct/>
              <w:autoSpaceDE/>
              <w:autoSpaceDN/>
              <w:adjustRightInd/>
              <w:spacing w:after="0"/>
              <w:ind w:leftChars="711" w:left="1782"/>
              <w:jc w:val="both"/>
              <w:textAlignment w:val="auto"/>
              <w:rPr>
                <w:szCs w:val="24"/>
              </w:rPr>
            </w:pPr>
            <w:r w:rsidRPr="00CA278A">
              <w:rPr>
                <w:szCs w:val="24"/>
              </w:rPr>
              <w:t>Provide early feedback to RAN1 with RAN4's initial findings on the RF feasibility and trade-offs of the most prominent max CBW/SCS/FFT combinations.</w:t>
            </w:r>
          </w:p>
        </w:tc>
      </w:tr>
    </w:tbl>
    <w:p w14:paraId="09069BC0" w14:textId="654E4A49" w:rsidR="00AB7075" w:rsidRDefault="00340A5B" w:rsidP="00340A5B">
      <w:pPr>
        <w:spacing w:beforeLines="50" w:before="120"/>
        <w:jc w:val="both"/>
        <w:rPr>
          <w:bCs/>
          <w:iCs/>
          <w:lang w:val="en-US"/>
        </w:rPr>
      </w:pPr>
      <w:r>
        <w:rPr>
          <w:rFonts w:hint="eastAsia"/>
          <w:bCs/>
          <w:iCs/>
          <w:lang w:val="en-US"/>
        </w:rPr>
        <w:t>N</w:t>
      </w:r>
      <w:r>
        <w:rPr>
          <w:bCs/>
          <w:iCs/>
          <w:lang w:val="en-US"/>
        </w:rPr>
        <w:t xml:space="preserve">otably, RAN1 reached the following agreement regarding max channel bandwidth. </w:t>
      </w:r>
    </w:p>
    <w:tbl>
      <w:tblPr>
        <w:tblStyle w:val="aff"/>
        <w:tblW w:w="0" w:type="auto"/>
        <w:tblLook w:val="04A0" w:firstRow="1" w:lastRow="0" w:firstColumn="1" w:lastColumn="0" w:noHBand="0" w:noVBand="1"/>
      </w:tblPr>
      <w:tblGrid>
        <w:gridCol w:w="9631"/>
      </w:tblGrid>
      <w:tr w:rsidR="00122119" w14:paraId="30378091" w14:textId="77777777" w:rsidTr="00122119">
        <w:tc>
          <w:tcPr>
            <w:tcW w:w="9631" w:type="dxa"/>
          </w:tcPr>
          <w:p w14:paraId="0008AACA" w14:textId="59A760A6" w:rsidR="00122119" w:rsidRPr="00122119" w:rsidRDefault="00122119" w:rsidP="00122119">
            <w:pPr>
              <w:overflowPunct/>
              <w:autoSpaceDE/>
              <w:autoSpaceDN/>
              <w:adjustRightInd/>
              <w:spacing w:after="0"/>
              <w:textAlignment w:val="auto"/>
              <w:rPr>
                <w:rFonts w:ascii="Times" w:eastAsia="等线" w:hAnsi="Times"/>
                <w:highlight w:val="green"/>
              </w:rPr>
            </w:pPr>
            <w:r>
              <w:rPr>
                <w:rFonts w:ascii="Times" w:eastAsia="等线" w:hAnsi="Times"/>
                <w:highlight w:val="green"/>
              </w:rPr>
              <w:t xml:space="preserve">RAN1 </w:t>
            </w:r>
            <w:r w:rsidRPr="00122119">
              <w:rPr>
                <w:rFonts w:ascii="Times" w:eastAsia="等线" w:hAnsi="Times" w:hint="eastAsia"/>
                <w:highlight w:val="green"/>
              </w:rPr>
              <w:t>Agreement</w:t>
            </w:r>
          </w:p>
          <w:p w14:paraId="678CB83C" w14:textId="77777777" w:rsidR="00122119" w:rsidRPr="00122119" w:rsidRDefault="00122119" w:rsidP="00122119">
            <w:pPr>
              <w:numPr>
                <w:ilvl w:val="0"/>
                <w:numId w:val="20"/>
              </w:numPr>
              <w:overflowPunct/>
              <w:autoSpaceDE/>
              <w:autoSpaceDN/>
              <w:adjustRightInd/>
              <w:spacing w:after="0"/>
              <w:textAlignment w:val="auto"/>
              <w:rPr>
                <w:rFonts w:ascii="Times" w:eastAsia="等线" w:hAnsi="Times"/>
                <w:sz w:val="21"/>
                <w:szCs w:val="21"/>
              </w:rPr>
            </w:pPr>
            <w:r w:rsidRPr="00122119">
              <w:rPr>
                <w:rFonts w:ascii="Times" w:eastAsia="等线" w:hAnsi="Times"/>
                <w:sz w:val="21"/>
                <w:szCs w:val="21"/>
              </w:rPr>
              <w:t xml:space="preserve">RAN1 </w:t>
            </w:r>
            <w:r w:rsidRPr="00122119">
              <w:rPr>
                <w:rFonts w:ascii="Times" w:eastAsia="等线" w:hAnsi="Times" w:hint="eastAsia"/>
                <w:sz w:val="21"/>
                <w:szCs w:val="21"/>
              </w:rPr>
              <w:t xml:space="preserve">assumes </w:t>
            </w:r>
            <w:r w:rsidRPr="00122119">
              <w:rPr>
                <w:rFonts w:ascii="Times" w:eastAsia="等线" w:hAnsi="Times" w:hint="eastAsia"/>
                <w:sz w:val="21"/>
                <w:szCs w:val="21"/>
                <w:lang w:val="en-US"/>
              </w:rPr>
              <w:t xml:space="preserve">400MHz </w:t>
            </w:r>
            <w:r w:rsidRPr="00122119">
              <w:rPr>
                <w:rFonts w:ascii="Times" w:eastAsia="等线" w:hAnsi="Times"/>
                <w:sz w:val="21"/>
                <w:szCs w:val="21"/>
              </w:rPr>
              <w:t>maximum channel bandwidth</w:t>
            </w:r>
            <w:r w:rsidRPr="00122119">
              <w:rPr>
                <w:rFonts w:ascii="Times" w:eastAsia="等线" w:hAnsi="Times" w:hint="eastAsia"/>
                <w:sz w:val="21"/>
                <w:szCs w:val="21"/>
                <w:lang w:val="en-US"/>
              </w:rPr>
              <w:t xml:space="preserve"> </w:t>
            </w:r>
            <w:r w:rsidRPr="00122119">
              <w:rPr>
                <w:rFonts w:ascii="Times" w:eastAsia="等线" w:hAnsi="Times" w:hint="eastAsia"/>
                <w:sz w:val="21"/>
                <w:szCs w:val="21"/>
              </w:rPr>
              <w:t>at network side</w:t>
            </w:r>
            <w:r w:rsidRPr="00122119">
              <w:rPr>
                <w:rFonts w:ascii="Times" w:eastAsia="等线" w:hAnsi="Times" w:hint="eastAsia"/>
                <w:sz w:val="21"/>
                <w:szCs w:val="21"/>
                <w:lang w:val="en-US"/>
              </w:rPr>
              <w:t xml:space="preserve"> and 30kHz SCS</w:t>
            </w:r>
            <w:r w:rsidRPr="00122119">
              <w:rPr>
                <w:rFonts w:ascii="Times" w:eastAsia="等线" w:hAnsi="Times"/>
                <w:sz w:val="21"/>
                <w:szCs w:val="21"/>
              </w:rPr>
              <w:t xml:space="preserve"> </w:t>
            </w:r>
            <w:r w:rsidRPr="00122119">
              <w:rPr>
                <w:rFonts w:ascii="Times" w:eastAsia="等线" w:hAnsi="Times" w:hint="eastAsia"/>
                <w:sz w:val="21"/>
                <w:szCs w:val="21"/>
                <w:lang w:val="en-US"/>
              </w:rPr>
              <w:t>around 7GHz</w:t>
            </w:r>
            <w:r w:rsidRPr="00122119">
              <w:rPr>
                <w:rFonts w:ascii="Times" w:eastAsia="等线" w:hAnsi="Times"/>
                <w:sz w:val="21"/>
                <w:szCs w:val="21"/>
              </w:rPr>
              <w:t xml:space="preserve"> </w:t>
            </w:r>
          </w:p>
          <w:p w14:paraId="0CDA5D3C" w14:textId="301DFE04" w:rsidR="00122119" w:rsidRPr="00122119" w:rsidRDefault="00122119" w:rsidP="00122119">
            <w:pPr>
              <w:numPr>
                <w:ilvl w:val="0"/>
                <w:numId w:val="21"/>
              </w:numPr>
              <w:overflowPunct/>
              <w:autoSpaceDE/>
              <w:autoSpaceDN/>
              <w:adjustRightInd/>
              <w:spacing w:after="0"/>
              <w:textAlignment w:val="auto"/>
              <w:rPr>
                <w:rFonts w:ascii="Times" w:eastAsia="等线" w:hAnsi="Times"/>
                <w:sz w:val="21"/>
                <w:szCs w:val="21"/>
                <w:lang w:val="en-US"/>
              </w:rPr>
            </w:pPr>
            <w:r w:rsidRPr="00122119">
              <w:rPr>
                <w:rFonts w:ascii="Times" w:eastAsia="等线" w:hAnsi="Times"/>
                <w:szCs w:val="24"/>
                <w:lang w:val="en-US"/>
              </w:rPr>
              <w:t>S</w:t>
            </w:r>
            <w:r w:rsidRPr="00122119">
              <w:rPr>
                <w:rFonts w:ascii="Times" w:eastAsia="等线" w:hAnsi="Times" w:hint="eastAsia"/>
                <w:szCs w:val="24"/>
                <w:lang w:val="en-US"/>
              </w:rPr>
              <w:t xml:space="preserve">tudy whether and how to enable UE to support 400MHz bandwidth </w:t>
            </w:r>
          </w:p>
        </w:tc>
      </w:tr>
    </w:tbl>
    <w:p w14:paraId="3AC1A49A" w14:textId="45A8ABF3" w:rsidR="002209CA" w:rsidRPr="002209CA" w:rsidRDefault="002209CA" w:rsidP="002209CA">
      <w:pPr>
        <w:spacing w:beforeLines="50" w:before="120" w:after="0"/>
        <w:jc w:val="both"/>
        <w:rPr>
          <w:bCs/>
          <w:iCs/>
          <w:lang w:val="en-US"/>
        </w:rPr>
      </w:pPr>
      <w:r w:rsidRPr="002209CA">
        <w:rPr>
          <w:bCs/>
          <w:iCs/>
          <w:lang w:val="en-US"/>
        </w:rPr>
        <w:lastRenderedPageBreak/>
        <w:t>To support such channel bandwidth, current RAN1 agreement provide</w:t>
      </w:r>
      <w:r>
        <w:rPr>
          <w:bCs/>
          <w:iCs/>
          <w:lang w:val="en-US"/>
        </w:rPr>
        <w:t>s</w:t>
      </w:r>
      <w:r w:rsidRPr="002209CA">
        <w:rPr>
          <w:bCs/>
          <w:iCs/>
          <w:lang w:val="en-US"/>
        </w:rPr>
        <w:t xml:space="preserve"> no indication regarding the maximum FFT size. During RAN4 discussions, many companies proposed to adopt an 8192 FFT size as the baseline. While it is understood that a single 8192 FFT cannot support a 400 MHz channel bandwidth with 30 kHz subcarrier spacing, FFT size alone may not be the determining factor for the maximum channel bandwidth. Multi-FFT remains a viable solution</w:t>
      </w:r>
      <w:r w:rsidR="0086501E">
        <w:rPr>
          <w:bCs/>
          <w:iCs/>
          <w:lang w:val="en-US"/>
        </w:rPr>
        <w:t xml:space="preserve"> </w:t>
      </w:r>
      <w:r w:rsidR="00DB7508">
        <w:rPr>
          <w:bCs/>
          <w:iCs/>
          <w:lang w:val="en-US"/>
        </w:rPr>
        <w:t>and could be implemented in NR, which is up to vendors’ choice</w:t>
      </w:r>
      <w:r w:rsidRPr="002209CA">
        <w:rPr>
          <w:bCs/>
          <w:iCs/>
          <w:lang w:val="en-US"/>
        </w:rPr>
        <w:t xml:space="preserve">. Therefore, </w:t>
      </w:r>
      <w:r>
        <w:rPr>
          <w:bCs/>
          <w:iCs/>
          <w:lang w:val="en-US"/>
        </w:rPr>
        <w:t xml:space="preserve">while </w:t>
      </w:r>
      <w:r w:rsidRPr="002209CA">
        <w:rPr>
          <w:bCs/>
          <w:iCs/>
          <w:lang w:val="en-US"/>
        </w:rPr>
        <w:t>the 8192 FFT size can be regarded as a baseline or typical implementation for 6G, it should not be considered a limiting factor in determining the maximum channel bandwidth, consistent with the network-side agreement</w:t>
      </w:r>
      <w:r w:rsidR="0086501E">
        <w:rPr>
          <w:rFonts w:hint="eastAsia"/>
          <w:bCs/>
          <w:iCs/>
          <w:lang w:val="en-US"/>
        </w:rPr>
        <w:t>.</w:t>
      </w:r>
      <w:r w:rsidR="00FE5C32">
        <w:rPr>
          <w:bCs/>
          <w:iCs/>
          <w:lang w:val="en-US"/>
        </w:rPr>
        <w:t xml:space="preserve"> </w:t>
      </w:r>
      <w:r w:rsidRPr="002209CA">
        <w:rPr>
          <w:bCs/>
          <w:iCs/>
          <w:lang w:val="en-US"/>
        </w:rPr>
        <w:t>The feasibility and methods for enabling UE support of 400 MHz bandwidth will be further studied in RAN1. From RAN4 perspective, potential spectrum availability</w:t>
      </w:r>
      <w:r w:rsidR="00043ECE">
        <w:rPr>
          <w:bCs/>
          <w:iCs/>
          <w:lang w:val="en-US"/>
        </w:rPr>
        <w:t>,</w:t>
      </w:r>
      <w:r w:rsidRPr="002209CA">
        <w:rPr>
          <w:bCs/>
          <w:iCs/>
          <w:lang w:val="en-US"/>
        </w:rPr>
        <w:t xml:space="preserve"> implementation complexity</w:t>
      </w:r>
      <w:r w:rsidR="00FD7523">
        <w:rPr>
          <w:bCs/>
          <w:iCs/>
          <w:lang w:val="en-US"/>
        </w:rPr>
        <w:t>,</w:t>
      </w:r>
      <w:r w:rsidRPr="002209CA">
        <w:rPr>
          <w:bCs/>
          <w:iCs/>
          <w:lang w:val="en-US"/>
        </w:rPr>
        <w:t xml:space="preserve"> </w:t>
      </w:r>
      <w:r w:rsidR="00FD7523">
        <w:rPr>
          <w:bCs/>
          <w:iCs/>
          <w:lang w:val="en-US"/>
        </w:rPr>
        <w:t xml:space="preserve">performance and power consumption </w:t>
      </w:r>
      <w:r w:rsidRPr="002209CA">
        <w:rPr>
          <w:bCs/>
          <w:iCs/>
          <w:lang w:val="en-US"/>
        </w:rPr>
        <w:t>should also be thoroughly evaluated.</w:t>
      </w:r>
    </w:p>
    <w:p w14:paraId="46D4D2C9" w14:textId="7A30A2CA" w:rsidR="002209CA" w:rsidRPr="00FE5C32" w:rsidRDefault="002209CA" w:rsidP="00FE5C32">
      <w:pPr>
        <w:spacing w:beforeLines="50" w:before="120"/>
        <w:jc w:val="both"/>
        <w:rPr>
          <w:szCs w:val="24"/>
        </w:rPr>
      </w:pPr>
      <w:r w:rsidRPr="00FE5C32">
        <w:rPr>
          <w:szCs w:val="24"/>
        </w:rPr>
        <w:t>In addition, we note that some companies have suggested considering a 4096 FFT size for FDD or lower frequency bands. In our view, if an 8192 FFT size can be supported, the use of a reduced FFT size becomes merely an implementation choice Therefore,</w:t>
      </w:r>
      <w:r w:rsidR="0086501E" w:rsidRPr="00FE5C32">
        <w:rPr>
          <w:szCs w:val="24"/>
        </w:rPr>
        <w:t xml:space="preserve"> for different bands, different FFT size </w:t>
      </w:r>
      <w:r w:rsidR="002775AA" w:rsidRPr="00FE5C32">
        <w:rPr>
          <w:szCs w:val="24"/>
        </w:rPr>
        <w:t>could</w:t>
      </w:r>
      <w:r w:rsidR="006D399F" w:rsidRPr="00FE5C32">
        <w:rPr>
          <w:szCs w:val="24"/>
        </w:rPr>
        <w:t xml:space="preserve"> also </w:t>
      </w:r>
      <w:r w:rsidR="002775AA" w:rsidRPr="00FE5C32">
        <w:rPr>
          <w:szCs w:val="24"/>
        </w:rPr>
        <w:t xml:space="preserve">be </w:t>
      </w:r>
      <w:r w:rsidR="006D399F" w:rsidRPr="00FE5C32">
        <w:rPr>
          <w:szCs w:val="24"/>
        </w:rPr>
        <w:t>considered in UE implementation</w:t>
      </w:r>
      <w:r w:rsidR="002775AA" w:rsidRPr="00FE5C32">
        <w:rPr>
          <w:szCs w:val="24"/>
        </w:rPr>
        <w:t xml:space="preserve"> and</w:t>
      </w:r>
      <w:r w:rsidRPr="00FE5C32">
        <w:rPr>
          <w:szCs w:val="24"/>
        </w:rPr>
        <w:t xml:space="preserve"> it is not necessary to consider a separate assumption of 4096 FFT for specific scenarios.</w:t>
      </w:r>
    </w:p>
    <w:p w14:paraId="02669F34" w14:textId="3C185B91" w:rsidR="00675CA3" w:rsidRDefault="00675CA3" w:rsidP="00AB7075">
      <w:pPr>
        <w:jc w:val="both"/>
        <w:rPr>
          <w:b/>
          <w:i/>
          <w:lang w:val="en-US"/>
        </w:rPr>
      </w:pPr>
      <w:r>
        <w:rPr>
          <w:b/>
          <w:i/>
          <w:lang w:val="en-US"/>
        </w:rPr>
        <w:t>Proposal</w:t>
      </w:r>
      <w:r w:rsidR="00680EED">
        <w:rPr>
          <w:b/>
          <w:i/>
          <w:lang w:val="en-US"/>
        </w:rPr>
        <w:t xml:space="preserve"> </w:t>
      </w:r>
      <w:r w:rsidR="00FE5C32">
        <w:rPr>
          <w:b/>
          <w:i/>
          <w:lang w:val="en-US"/>
        </w:rPr>
        <w:t>1-1</w:t>
      </w:r>
      <w:r>
        <w:rPr>
          <w:b/>
          <w:i/>
          <w:lang w:val="en-US"/>
        </w:rPr>
        <w:t xml:space="preserve">: If a single FFT size is considered as a baseline, other FFT size(s) are not precluded </w:t>
      </w:r>
      <w:r w:rsidR="008B47CF">
        <w:rPr>
          <w:b/>
          <w:i/>
          <w:lang w:val="en-US"/>
        </w:rPr>
        <w:t xml:space="preserve">just </w:t>
      </w:r>
      <w:r>
        <w:rPr>
          <w:b/>
          <w:i/>
          <w:lang w:val="en-US"/>
        </w:rPr>
        <w:t>as implementation choice</w:t>
      </w:r>
      <w:r w:rsidR="006D399F">
        <w:rPr>
          <w:b/>
          <w:i/>
          <w:lang w:val="en-US"/>
        </w:rPr>
        <w:t xml:space="preserve"> considering the wide frequency range</w:t>
      </w:r>
      <w:r>
        <w:rPr>
          <w:b/>
          <w:i/>
          <w:lang w:val="en-US"/>
        </w:rPr>
        <w:t xml:space="preserve">. </w:t>
      </w:r>
    </w:p>
    <w:p w14:paraId="54672CE5" w14:textId="4861958F" w:rsidR="00216584" w:rsidRDefault="00216584" w:rsidP="00AB7075">
      <w:pPr>
        <w:jc w:val="both"/>
        <w:rPr>
          <w:szCs w:val="24"/>
        </w:rPr>
      </w:pPr>
      <w:r w:rsidRPr="00216584">
        <w:rPr>
          <w:szCs w:val="24"/>
        </w:rPr>
        <w:t>While the increased implementation complexity for UE to support 400 MHz channel bandwidth is acknowledged, qualitative analysis alone offers limited value to RAN4 and RAN1 discussions. In line with the RAN4 agreement to compare implementation options</w:t>
      </w:r>
      <w:r w:rsidR="00A73B67">
        <w:rPr>
          <w:szCs w:val="24"/>
        </w:rPr>
        <w:t xml:space="preserve">, </w:t>
      </w:r>
      <w:r w:rsidRPr="00216584">
        <w:rPr>
          <w:szCs w:val="24"/>
        </w:rPr>
        <w:t xml:space="preserve">e.g., </w:t>
      </w:r>
      <w:r w:rsidR="00A73B67" w:rsidRPr="00CA278A">
        <w:rPr>
          <w:szCs w:val="24"/>
        </w:rPr>
        <w:t>for cases like 200</w:t>
      </w:r>
      <w:r w:rsidR="00A73B67" w:rsidRPr="00CA278A">
        <w:rPr>
          <w:rFonts w:hint="eastAsia"/>
          <w:szCs w:val="24"/>
        </w:rPr>
        <w:t>MHz</w:t>
      </w:r>
      <w:r w:rsidR="00A73B67" w:rsidRPr="00CA278A">
        <w:rPr>
          <w:szCs w:val="24"/>
        </w:rPr>
        <w:t>/400 MHz</w:t>
      </w:r>
      <w:r w:rsidR="00A73B67">
        <w:rPr>
          <w:szCs w:val="24"/>
        </w:rPr>
        <w:t xml:space="preserve">, </w:t>
      </w:r>
      <w:r w:rsidRPr="00216584">
        <w:rPr>
          <w:szCs w:val="24"/>
        </w:rPr>
        <w:t xml:space="preserve">and evaluate RF performance and architectural trade-offs, </w:t>
      </w:r>
      <w:bookmarkStart w:id="5" w:name="_Hlk212397419"/>
      <w:r w:rsidRPr="00216584">
        <w:rPr>
          <w:szCs w:val="24"/>
        </w:rPr>
        <w:t>RAN4 should conduct quantitative implementation comparisons.</w:t>
      </w:r>
      <w:bookmarkEnd w:id="5"/>
      <w:r w:rsidRPr="00216584">
        <w:rPr>
          <w:szCs w:val="24"/>
        </w:rPr>
        <w:t xml:space="preserve"> Providing such</w:t>
      </w:r>
      <w:r w:rsidR="00A73B67">
        <w:rPr>
          <w:szCs w:val="24"/>
        </w:rPr>
        <w:t xml:space="preserve"> implementation relevant</w:t>
      </w:r>
      <w:r w:rsidRPr="00216584">
        <w:rPr>
          <w:szCs w:val="24"/>
        </w:rPr>
        <w:t xml:space="preserve"> evaluation to RAN1 is essential for </w:t>
      </w:r>
      <w:bookmarkStart w:id="6" w:name="_Hlk212397470"/>
      <w:r w:rsidRPr="00216584">
        <w:rPr>
          <w:szCs w:val="24"/>
        </w:rPr>
        <w:t>reaching a pertinent joint conclusion</w:t>
      </w:r>
      <w:bookmarkEnd w:id="6"/>
      <w:r w:rsidRPr="00216584">
        <w:rPr>
          <w:szCs w:val="24"/>
        </w:rPr>
        <w:t xml:space="preserve"> with a meaningful technical basis.</w:t>
      </w:r>
      <w:r>
        <w:rPr>
          <w:szCs w:val="24"/>
        </w:rPr>
        <w:t xml:space="preserve"> </w:t>
      </w:r>
    </w:p>
    <w:p w14:paraId="482DFA7E" w14:textId="072FA61E" w:rsidR="00A73B67" w:rsidRDefault="004445A4" w:rsidP="00A73B67">
      <w:pPr>
        <w:jc w:val="both"/>
        <w:rPr>
          <w:b/>
          <w:i/>
          <w:lang w:val="en-US"/>
        </w:rPr>
      </w:pPr>
      <w:r>
        <w:rPr>
          <w:b/>
          <w:i/>
          <w:lang w:val="en-US"/>
        </w:rPr>
        <w:t>Proposal</w:t>
      </w:r>
      <w:r w:rsidR="00680EED">
        <w:rPr>
          <w:b/>
          <w:i/>
          <w:lang w:val="en-US"/>
        </w:rPr>
        <w:t xml:space="preserve"> </w:t>
      </w:r>
      <w:r w:rsidR="00FE5C32">
        <w:rPr>
          <w:b/>
          <w:i/>
          <w:lang w:val="en-US"/>
        </w:rPr>
        <w:t>1-2</w:t>
      </w:r>
      <w:r>
        <w:rPr>
          <w:b/>
          <w:i/>
          <w:lang w:val="en-US"/>
        </w:rPr>
        <w:t xml:space="preserve">: </w:t>
      </w:r>
      <w:r w:rsidRPr="004445A4">
        <w:rPr>
          <w:b/>
          <w:i/>
          <w:lang w:val="en-US"/>
        </w:rPr>
        <w:t>RAN4 should conduct quantitative comparisons of implementation options, assessing their RF performance and architectural trade-offs, to support a joint conclusion on the maximum channel bandwidth.</w:t>
      </w:r>
    </w:p>
    <w:p w14:paraId="419FD5F6" w14:textId="1DB06DC7" w:rsidR="00D41F49" w:rsidRDefault="003C5AD9" w:rsidP="00D41F49">
      <w:pPr>
        <w:pStyle w:val="3"/>
      </w:pPr>
      <w:r>
        <w:rPr>
          <w:rFonts w:hint="eastAsia"/>
        </w:rPr>
        <w:t>M</w:t>
      </w:r>
      <w:r>
        <w:t>in channel bandwidth</w:t>
      </w:r>
    </w:p>
    <w:p w14:paraId="745B7F3D" w14:textId="6DBD466C" w:rsidR="00E23B44" w:rsidRPr="005C5502" w:rsidRDefault="005C5502" w:rsidP="005C5502">
      <w:pPr>
        <w:spacing w:afterLines="50" w:after="120"/>
        <w:rPr>
          <w:szCs w:val="21"/>
          <w:lang w:val="en-US"/>
        </w:rPr>
      </w:pPr>
      <w:r w:rsidRPr="005C5502">
        <w:rPr>
          <w:lang w:val="en-US"/>
        </w:rPr>
        <w:t>RAN4 agreement on m</w:t>
      </w:r>
      <w:r>
        <w:rPr>
          <w:lang w:val="en-US"/>
        </w:rPr>
        <w:t>in</w:t>
      </w:r>
      <w:r w:rsidRPr="005C5502">
        <w:rPr>
          <w:lang w:val="en-US"/>
        </w:rPr>
        <w:t xml:space="preserve"> channel bandwidth is excerpted as below.</w:t>
      </w:r>
      <w:r w:rsidR="00E23B44" w:rsidRPr="005C5502">
        <w:rPr>
          <w:szCs w:val="21"/>
          <w:lang w:val="en-US"/>
        </w:rPr>
        <w:t xml:space="preserve"> </w:t>
      </w:r>
    </w:p>
    <w:tbl>
      <w:tblPr>
        <w:tblStyle w:val="aff"/>
        <w:tblW w:w="0" w:type="auto"/>
        <w:tblLook w:val="04A0" w:firstRow="1" w:lastRow="0" w:firstColumn="1" w:lastColumn="0" w:noHBand="0" w:noVBand="1"/>
      </w:tblPr>
      <w:tblGrid>
        <w:gridCol w:w="9631"/>
      </w:tblGrid>
      <w:tr w:rsidR="004B573C" w14:paraId="15642D9B" w14:textId="77777777" w:rsidTr="004B573C">
        <w:tc>
          <w:tcPr>
            <w:tcW w:w="9631" w:type="dxa"/>
          </w:tcPr>
          <w:p w14:paraId="5E263698" w14:textId="77777777" w:rsidR="004B573C" w:rsidRPr="004B573C" w:rsidRDefault="004B573C" w:rsidP="00B31232">
            <w:pPr>
              <w:overflowPunct/>
              <w:autoSpaceDE/>
              <w:autoSpaceDN/>
              <w:adjustRightInd/>
              <w:spacing w:after="120"/>
              <w:ind w:leftChars="-56" w:left="-112"/>
              <w:textAlignment w:val="auto"/>
              <w:rPr>
                <w:szCs w:val="24"/>
                <w:highlight w:val="green"/>
              </w:rPr>
            </w:pPr>
            <w:r w:rsidRPr="004B573C">
              <w:rPr>
                <w:szCs w:val="24"/>
                <w:highlight w:val="green"/>
              </w:rPr>
              <w:t>Agreement</w:t>
            </w:r>
          </w:p>
          <w:p w14:paraId="7B094486" w14:textId="77777777" w:rsidR="004B573C" w:rsidRPr="004B573C" w:rsidRDefault="004B573C" w:rsidP="00B31232">
            <w:pPr>
              <w:numPr>
                <w:ilvl w:val="0"/>
                <w:numId w:val="18"/>
              </w:numPr>
              <w:overflowPunct/>
              <w:autoSpaceDE/>
              <w:autoSpaceDN/>
              <w:adjustRightInd/>
              <w:spacing w:after="0"/>
              <w:jc w:val="both"/>
              <w:textAlignment w:val="auto"/>
              <w:rPr>
                <w:szCs w:val="24"/>
              </w:rPr>
            </w:pPr>
            <w:r w:rsidRPr="004B573C">
              <w:rPr>
                <w:szCs w:val="24"/>
              </w:rPr>
              <w:t>Compare options of defining min CBW, considering pros and cons</w:t>
            </w:r>
          </w:p>
          <w:p w14:paraId="2D96CAAF" w14:textId="77777777" w:rsidR="004B573C" w:rsidRPr="004B573C" w:rsidRDefault="004B573C" w:rsidP="00B31232">
            <w:pPr>
              <w:numPr>
                <w:ilvl w:val="1"/>
                <w:numId w:val="18"/>
              </w:numPr>
              <w:overflowPunct/>
              <w:autoSpaceDE/>
              <w:autoSpaceDN/>
              <w:adjustRightInd/>
              <w:spacing w:after="0"/>
              <w:ind w:leftChars="478" w:left="1316"/>
              <w:jc w:val="both"/>
              <w:textAlignment w:val="auto"/>
              <w:rPr>
                <w:szCs w:val="24"/>
              </w:rPr>
            </w:pPr>
            <w:r w:rsidRPr="004B573C">
              <w:rPr>
                <w:rFonts w:hint="eastAsia"/>
                <w:szCs w:val="24"/>
              </w:rPr>
              <w:t>S</w:t>
            </w:r>
            <w:r w:rsidRPr="004B573C">
              <w:rPr>
                <w:szCs w:val="24"/>
              </w:rPr>
              <w:t>tudy the following aspects from RAN4 perspective, meanwhile tracking RAN1/RAN progress</w:t>
            </w:r>
          </w:p>
          <w:p w14:paraId="0CEA54BF" w14:textId="77777777" w:rsidR="004B573C" w:rsidRPr="004B573C" w:rsidRDefault="004B573C" w:rsidP="00B31232">
            <w:pPr>
              <w:numPr>
                <w:ilvl w:val="2"/>
                <w:numId w:val="18"/>
              </w:numPr>
              <w:overflowPunct/>
              <w:autoSpaceDE/>
              <w:autoSpaceDN/>
              <w:adjustRightInd/>
              <w:spacing w:after="0"/>
              <w:ind w:leftChars="838" w:left="2036"/>
              <w:jc w:val="both"/>
              <w:textAlignment w:val="auto"/>
              <w:rPr>
                <w:szCs w:val="24"/>
              </w:rPr>
            </w:pPr>
            <w:r w:rsidRPr="004B573C">
              <w:rPr>
                <w:rFonts w:hint="eastAsia"/>
                <w:szCs w:val="24"/>
              </w:rPr>
              <w:t>W</w:t>
            </w:r>
            <w:r w:rsidRPr="004B573C">
              <w:rPr>
                <w:szCs w:val="24"/>
              </w:rPr>
              <w:t>hether 5MHz could be considered as a general baseline while 3MHz is allowed for particular bands</w:t>
            </w:r>
          </w:p>
          <w:p w14:paraId="14C1ED92" w14:textId="77777777" w:rsidR="004B573C" w:rsidRPr="004B573C" w:rsidRDefault="004B573C" w:rsidP="00B31232">
            <w:pPr>
              <w:numPr>
                <w:ilvl w:val="2"/>
                <w:numId w:val="18"/>
              </w:numPr>
              <w:overflowPunct/>
              <w:autoSpaceDE/>
              <w:autoSpaceDN/>
              <w:adjustRightInd/>
              <w:spacing w:after="0"/>
              <w:ind w:leftChars="838" w:left="2036"/>
              <w:jc w:val="both"/>
              <w:textAlignment w:val="auto"/>
              <w:rPr>
                <w:szCs w:val="24"/>
              </w:rPr>
            </w:pPr>
            <w:r w:rsidRPr="004B573C">
              <w:rPr>
                <w:rFonts w:hint="eastAsia"/>
                <w:szCs w:val="24"/>
              </w:rPr>
              <w:t>S</w:t>
            </w:r>
            <w:r w:rsidRPr="004B573C">
              <w:rPr>
                <w:szCs w:val="24"/>
              </w:rPr>
              <w:t>CS-dependent framework</w:t>
            </w:r>
          </w:p>
          <w:p w14:paraId="6EC3A6C5" w14:textId="77777777" w:rsidR="004B573C" w:rsidRPr="004B573C" w:rsidRDefault="004B573C" w:rsidP="00B31232">
            <w:pPr>
              <w:numPr>
                <w:ilvl w:val="2"/>
                <w:numId w:val="18"/>
              </w:numPr>
              <w:overflowPunct/>
              <w:autoSpaceDE/>
              <w:autoSpaceDN/>
              <w:adjustRightInd/>
              <w:spacing w:after="0"/>
              <w:ind w:leftChars="838" w:left="2036"/>
              <w:jc w:val="both"/>
              <w:textAlignment w:val="auto"/>
              <w:rPr>
                <w:szCs w:val="24"/>
              </w:rPr>
            </w:pPr>
            <w:r w:rsidRPr="004B573C">
              <w:rPr>
                <w:rFonts w:hint="eastAsia"/>
                <w:szCs w:val="24"/>
              </w:rPr>
              <w:t>O</w:t>
            </w:r>
            <w:r w:rsidRPr="004B573C">
              <w:rPr>
                <w:szCs w:val="24"/>
              </w:rPr>
              <w:t>ther aspects are not precluded</w:t>
            </w:r>
          </w:p>
          <w:p w14:paraId="30E67D5D" w14:textId="53168B57" w:rsidR="004B573C" w:rsidRPr="004B573C" w:rsidRDefault="004B573C" w:rsidP="00B31232">
            <w:pPr>
              <w:numPr>
                <w:ilvl w:val="0"/>
                <w:numId w:val="18"/>
              </w:numPr>
              <w:overflowPunct/>
              <w:autoSpaceDE/>
              <w:autoSpaceDN/>
              <w:adjustRightInd/>
              <w:spacing w:after="0"/>
              <w:jc w:val="both"/>
              <w:textAlignment w:val="auto"/>
              <w:rPr>
                <w:szCs w:val="24"/>
              </w:rPr>
            </w:pPr>
            <w:r w:rsidRPr="004B573C">
              <w:rPr>
                <w:szCs w:val="24"/>
              </w:rPr>
              <w:t>Provide early feedback to RAN1 with RAN4's initial findings on min CBW from implementation and spectrum perspective.</w:t>
            </w:r>
          </w:p>
        </w:tc>
      </w:tr>
    </w:tbl>
    <w:p w14:paraId="063FF69B" w14:textId="4A9C3A2B" w:rsidR="002E737D" w:rsidRPr="00B81F8E" w:rsidRDefault="002E737D" w:rsidP="00B81F8E">
      <w:pPr>
        <w:spacing w:beforeLines="50" w:before="120"/>
        <w:jc w:val="both"/>
      </w:pPr>
      <w:r w:rsidRPr="00B81F8E">
        <w:t>The SSB (tentatively used term for 6GR here) design has not yet been finalized in RAN1, which is critical for determining the minimum supported channel bandwidth during initial access. The minimum channel bandwidth required for initial access should be evaluated separately from minimum channel bandwidth for specific operating bands. If the baseline RB number for SSB size remains similar to that in NR, the minimum channel bandwidth for initial access could adopt the same assumptions as 5G, which are tied to different numerologies—for example, 5 MHz for 15 kHz SCS and 10 MHz for 30 kHz SCS.</w:t>
      </w:r>
    </w:p>
    <w:p w14:paraId="5EE44F87" w14:textId="741A4035" w:rsidR="002E737D" w:rsidRPr="002E737D" w:rsidRDefault="00100384" w:rsidP="002E737D">
      <w:pPr>
        <w:snapToGrid w:val="0"/>
        <w:spacing w:after="120" w:line="276" w:lineRule="auto"/>
        <w:jc w:val="both"/>
        <w:rPr>
          <w:lang w:val="en-US"/>
        </w:rPr>
      </w:pPr>
      <w:r>
        <w:rPr>
          <w:lang w:val="en-US"/>
        </w:rPr>
        <w:t>G</w:t>
      </w:r>
      <w:r w:rsidRPr="002E737D">
        <w:rPr>
          <w:lang w:val="en-US"/>
        </w:rPr>
        <w:t>iven global spectrum allocation patterns</w:t>
      </w:r>
      <w:r>
        <w:rPr>
          <w:lang w:val="en-US"/>
        </w:rPr>
        <w:t>,</w:t>
      </w:r>
      <w:r w:rsidRPr="002E737D">
        <w:rPr>
          <w:lang w:val="en-US"/>
        </w:rPr>
        <w:t xml:space="preserve"> </w:t>
      </w:r>
      <w:r>
        <w:rPr>
          <w:lang w:val="en-US"/>
        </w:rPr>
        <w:t>w</w:t>
      </w:r>
      <w:r w:rsidR="002E737D" w:rsidRPr="002E737D">
        <w:rPr>
          <w:lang w:val="en-US"/>
        </w:rPr>
        <w:t xml:space="preserve">e recognize that some operators may hold 3 MHz of spectrum in certain cases. For such scenarios, the approach used in NR could still be considered: treating 3 MHz as an exceptional case while optimizing the physical layer design for </w:t>
      </w:r>
      <w:r>
        <w:rPr>
          <w:lang w:val="en-US"/>
        </w:rPr>
        <w:t xml:space="preserve">most scenarios and </w:t>
      </w:r>
      <w:r w:rsidR="002E737D" w:rsidRPr="002E737D">
        <w:rPr>
          <w:lang w:val="en-US"/>
        </w:rPr>
        <w:t>typical bandwidths. However, this should be a RAN1 decision as part of the initial access design.</w:t>
      </w:r>
    </w:p>
    <w:p w14:paraId="77CBE939" w14:textId="77777777" w:rsidR="002E737D" w:rsidRPr="002E737D" w:rsidRDefault="002E737D" w:rsidP="002E737D">
      <w:pPr>
        <w:snapToGrid w:val="0"/>
        <w:spacing w:after="120" w:line="276" w:lineRule="auto"/>
        <w:jc w:val="both"/>
        <w:rPr>
          <w:lang w:val="en-US"/>
        </w:rPr>
      </w:pPr>
      <w:r w:rsidRPr="002E737D">
        <w:rPr>
          <w:lang w:val="en-US"/>
        </w:rPr>
        <w:t>In the current RAN4 specifications, the minimum channel bandwidth is determined on a case-by-case basis for specific operating bands within different frequency ranges. As usual, this process incorporates operator inputs and reflects actual spectrum allocation conditions.</w:t>
      </w:r>
    </w:p>
    <w:p w14:paraId="3A598945" w14:textId="6CD00EE2" w:rsidR="002E737D" w:rsidRPr="00100384" w:rsidRDefault="002E737D" w:rsidP="002E737D">
      <w:pPr>
        <w:snapToGrid w:val="0"/>
        <w:spacing w:after="120" w:line="276" w:lineRule="auto"/>
        <w:jc w:val="both"/>
        <w:rPr>
          <w:b/>
          <w:bCs/>
          <w:i/>
          <w:iCs/>
        </w:rPr>
      </w:pPr>
      <w:r w:rsidRPr="00100384">
        <w:rPr>
          <w:b/>
          <w:bCs/>
          <w:i/>
          <w:iCs/>
        </w:rPr>
        <w:t>Proposal</w:t>
      </w:r>
      <w:r w:rsidR="00680EED">
        <w:rPr>
          <w:b/>
          <w:bCs/>
          <w:i/>
          <w:iCs/>
        </w:rPr>
        <w:t xml:space="preserve"> </w:t>
      </w:r>
      <w:r w:rsidR="00FE5C32">
        <w:rPr>
          <w:b/>
          <w:bCs/>
          <w:i/>
          <w:iCs/>
        </w:rPr>
        <w:t>2-1</w:t>
      </w:r>
      <w:r w:rsidRPr="00100384">
        <w:rPr>
          <w:b/>
          <w:bCs/>
          <w:i/>
          <w:iCs/>
        </w:rPr>
        <w:t>: Decouple the minimum channel bandwidth defined for specific spectrum/operating bands from the minimum channel bandwidth required for initial access. The latter should be determined by RAN1 as part of the initial access design.</w:t>
      </w:r>
    </w:p>
    <w:p w14:paraId="73824604" w14:textId="54BAA1BE" w:rsidR="00D41F49" w:rsidRDefault="003C5AD9" w:rsidP="00D41F49">
      <w:pPr>
        <w:pStyle w:val="3"/>
      </w:pPr>
      <w:r>
        <w:t>Numerology</w:t>
      </w:r>
    </w:p>
    <w:p w14:paraId="1B50386B" w14:textId="6EEB8DB8" w:rsidR="005453C3" w:rsidRDefault="005453C3" w:rsidP="005453C3">
      <w:pPr>
        <w:jc w:val="both"/>
      </w:pPr>
      <w:r w:rsidRPr="005C5502">
        <w:rPr>
          <w:lang w:val="en-US"/>
        </w:rPr>
        <w:lastRenderedPageBreak/>
        <w:t xml:space="preserve">RAN4 agreement on </w:t>
      </w:r>
      <w:r>
        <w:rPr>
          <w:lang w:val="en-US"/>
        </w:rPr>
        <w:t>numerology</w:t>
      </w:r>
      <w:r w:rsidRPr="005C5502">
        <w:rPr>
          <w:lang w:val="en-US"/>
        </w:rPr>
        <w:t xml:space="preserve"> is excerpted as below.</w:t>
      </w:r>
    </w:p>
    <w:tbl>
      <w:tblPr>
        <w:tblStyle w:val="aff"/>
        <w:tblW w:w="5000" w:type="pct"/>
        <w:tblLook w:val="04A0" w:firstRow="1" w:lastRow="0" w:firstColumn="1" w:lastColumn="0" w:noHBand="0" w:noVBand="1"/>
      </w:tblPr>
      <w:tblGrid>
        <w:gridCol w:w="9631"/>
      </w:tblGrid>
      <w:tr w:rsidR="00FE5004" w14:paraId="3FFCC8B5" w14:textId="77777777" w:rsidTr="005453C3">
        <w:tc>
          <w:tcPr>
            <w:tcW w:w="5000" w:type="pct"/>
          </w:tcPr>
          <w:p w14:paraId="6DE48709" w14:textId="77777777" w:rsidR="00FE5004" w:rsidRPr="00FE5004" w:rsidRDefault="00FE5004" w:rsidP="00FE5004">
            <w:pPr>
              <w:overflowPunct/>
              <w:autoSpaceDE/>
              <w:autoSpaceDN/>
              <w:adjustRightInd/>
              <w:spacing w:after="120"/>
              <w:textAlignment w:val="auto"/>
              <w:rPr>
                <w:szCs w:val="24"/>
                <w:highlight w:val="green"/>
              </w:rPr>
            </w:pPr>
            <w:r w:rsidRPr="00FE5004">
              <w:rPr>
                <w:szCs w:val="24"/>
                <w:highlight w:val="green"/>
              </w:rPr>
              <w:t>Agreement</w:t>
            </w:r>
          </w:p>
          <w:p w14:paraId="731D4E24" w14:textId="77777777" w:rsidR="00FE5004" w:rsidRPr="00FE5004" w:rsidRDefault="00FE5004" w:rsidP="00FE5004">
            <w:pPr>
              <w:numPr>
                <w:ilvl w:val="0"/>
                <w:numId w:val="18"/>
              </w:numPr>
              <w:overflowPunct/>
              <w:autoSpaceDE/>
              <w:autoSpaceDN/>
              <w:adjustRightInd/>
              <w:spacing w:after="0"/>
              <w:ind w:hanging="357"/>
              <w:jc w:val="both"/>
              <w:textAlignment w:val="auto"/>
              <w:rPr>
                <w:szCs w:val="24"/>
              </w:rPr>
            </w:pPr>
            <w:r w:rsidRPr="00FE5004">
              <w:rPr>
                <w:szCs w:val="24"/>
              </w:rPr>
              <w:t xml:space="preserve">Evaluate the following proposals regarding numerology from RAN4 perspective </w:t>
            </w:r>
          </w:p>
          <w:p w14:paraId="464BAE3E" w14:textId="77777777" w:rsidR="00FE5004" w:rsidRPr="00FE5004" w:rsidRDefault="00FE5004" w:rsidP="00FE5004">
            <w:pPr>
              <w:numPr>
                <w:ilvl w:val="1"/>
                <w:numId w:val="18"/>
              </w:numPr>
              <w:overflowPunct/>
              <w:autoSpaceDE/>
              <w:autoSpaceDN/>
              <w:adjustRightInd/>
              <w:spacing w:after="0"/>
              <w:ind w:hanging="357"/>
              <w:jc w:val="both"/>
              <w:textAlignment w:val="auto"/>
              <w:rPr>
                <w:szCs w:val="24"/>
              </w:rPr>
            </w:pPr>
            <w:r w:rsidRPr="00FE5004">
              <w:rPr>
                <w:szCs w:val="24"/>
              </w:rPr>
              <w:t>"Single numerology" proposal</w:t>
            </w:r>
          </w:p>
          <w:p w14:paraId="60686167" w14:textId="77777777" w:rsidR="00FE5004" w:rsidRPr="00FE5004" w:rsidRDefault="00FE5004" w:rsidP="00FE5004">
            <w:pPr>
              <w:numPr>
                <w:ilvl w:val="1"/>
                <w:numId w:val="18"/>
              </w:numPr>
              <w:overflowPunct/>
              <w:autoSpaceDE/>
              <w:autoSpaceDN/>
              <w:adjustRightInd/>
              <w:spacing w:after="0"/>
              <w:ind w:hanging="357"/>
              <w:jc w:val="both"/>
              <w:textAlignment w:val="auto"/>
              <w:rPr>
                <w:szCs w:val="24"/>
              </w:rPr>
            </w:pPr>
            <w:r w:rsidRPr="00FE5004">
              <w:rPr>
                <w:rFonts w:eastAsia="Yu Mincho"/>
                <w:szCs w:val="24"/>
                <w:lang w:eastAsia="ja-JP"/>
              </w:rPr>
              <w:t>Frequency sub-range/</w:t>
            </w:r>
            <w:r w:rsidRPr="00FE5004">
              <w:rPr>
                <w:rFonts w:eastAsia="Yu Mincho" w:hint="eastAsia"/>
                <w:szCs w:val="24"/>
                <w:lang w:eastAsia="ja-JP"/>
              </w:rPr>
              <w:t xml:space="preserve">Band </w:t>
            </w:r>
            <w:r w:rsidRPr="00FE5004">
              <w:rPr>
                <w:szCs w:val="24"/>
              </w:rPr>
              <w:t>specific SCS values proposal</w:t>
            </w:r>
          </w:p>
          <w:p w14:paraId="1F6DA74D" w14:textId="77777777" w:rsidR="00FE5004" w:rsidRPr="00FE5004" w:rsidRDefault="00FE5004" w:rsidP="00FE5004">
            <w:pPr>
              <w:numPr>
                <w:ilvl w:val="2"/>
                <w:numId w:val="18"/>
              </w:numPr>
              <w:overflowPunct/>
              <w:autoSpaceDE/>
              <w:autoSpaceDN/>
              <w:adjustRightInd/>
              <w:spacing w:after="0"/>
              <w:ind w:hanging="357"/>
              <w:jc w:val="both"/>
              <w:textAlignment w:val="auto"/>
              <w:rPr>
                <w:szCs w:val="24"/>
              </w:rPr>
            </w:pPr>
            <w:r w:rsidRPr="00FE5004">
              <w:rPr>
                <w:rFonts w:hint="eastAsia"/>
                <w:szCs w:val="24"/>
              </w:rPr>
              <w:t>C</w:t>
            </w:r>
            <w:r w:rsidRPr="00FE5004">
              <w:rPr>
                <w:szCs w:val="24"/>
              </w:rPr>
              <w:t xml:space="preserve">ompare perf gain and implementation complexity for different SCS with same frequency range or specific </w:t>
            </w:r>
            <w:r w:rsidRPr="00FE5004">
              <w:rPr>
                <w:rFonts w:eastAsia="Yu Mincho" w:hint="eastAsia"/>
                <w:szCs w:val="24"/>
                <w:lang w:eastAsia="ja-JP"/>
              </w:rPr>
              <w:t xml:space="preserve">band </w:t>
            </w:r>
          </w:p>
          <w:p w14:paraId="4CB80A9E" w14:textId="77777777" w:rsidR="00FE5004" w:rsidRPr="00FE5004" w:rsidRDefault="00FE5004" w:rsidP="00FE5004">
            <w:pPr>
              <w:numPr>
                <w:ilvl w:val="2"/>
                <w:numId w:val="18"/>
              </w:numPr>
              <w:overflowPunct/>
              <w:autoSpaceDE/>
              <w:autoSpaceDN/>
              <w:adjustRightInd/>
              <w:spacing w:after="0"/>
              <w:ind w:hanging="357"/>
              <w:jc w:val="both"/>
              <w:textAlignment w:val="auto"/>
              <w:rPr>
                <w:szCs w:val="24"/>
              </w:rPr>
            </w:pPr>
            <w:r w:rsidRPr="00FE5004">
              <w:rPr>
                <w:szCs w:val="24"/>
              </w:rPr>
              <w:t>Study numerology for SSB of initial cell search from RAN4 perspective</w:t>
            </w:r>
          </w:p>
          <w:p w14:paraId="4B7C1A7A" w14:textId="77777777" w:rsidR="00FE5004" w:rsidRPr="00FE5004" w:rsidRDefault="00FE5004" w:rsidP="00FE5004">
            <w:pPr>
              <w:numPr>
                <w:ilvl w:val="1"/>
                <w:numId w:val="18"/>
              </w:numPr>
              <w:overflowPunct/>
              <w:autoSpaceDE/>
              <w:autoSpaceDN/>
              <w:adjustRightInd/>
              <w:spacing w:after="0"/>
              <w:ind w:hanging="357"/>
              <w:jc w:val="both"/>
              <w:textAlignment w:val="auto"/>
              <w:rPr>
                <w:szCs w:val="24"/>
              </w:rPr>
            </w:pPr>
            <w:r w:rsidRPr="00FE5004">
              <w:rPr>
                <w:rFonts w:hint="eastAsia"/>
                <w:szCs w:val="24"/>
              </w:rPr>
              <w:t>O</w:t>
            </w:r>
            <w:r w:rsidRPr="00FE5004">
              <w:rPr>
                <w:szCs w:val="24"/>
              </w:rPr>
              <w:t>ther proposals not presented in this meeting are not precluded</w:t>
            </w:r>
          </w:p>
          <w:p w14:paraId="6A32F563" w14:textId="727555F4" w:rsidR="00FE5004" w:rsidRPr="00FE5004" w:rsidRDefault="00FE5004" w:rsidP="00FE5004">
            <w:pPr>
              <w:numPr>
                <w:ilvl w:val="0"/>
                <w:numId w:val="18"/>
              </w:numPr>
              <w:overflowPunct/>
              <w:autoSpaceDE/>
              <w:autoSpaceDN/>
              <w:adjustRightInd/>
              <w:spacing w:after="0"/>
              <w:ind w:hanging="357"/>
              <w:jc w:val="both"/>
              <w:textAlignment w:val="auto"/>
              <w:rPr>
                <w:szCs w:val="24"/>
              </w:rPr>
            </w:pPr>
            <w:r w:rsidRPr="00FE5004">
              <w:rPr>
                <w:szCs w:val="24"/>
              </w:rPr>
              <w:t>Provide RAN1 with early RAN4 feedback on the feasibility and trade-offs of the proposed FFT/CBW/SCS combinations to help guide their decisions.</w:t>
            </w:r>
          </w:p>
        </w:tc>
      </w:tr>
    </w:tbl>
    <w:p w14:paraId="44464187" w14:textId="61E95F55" w:rsidR="00FE5004" w:rsidRDefault="00BD2D98" w:rsidP="009A2C11">
      <w:pPr>
        <w:snapToGrid w:val="0"/>
        <w:spacing w:beforeLines="50" w:before="120" w:after="0"/>
        <w:jc w:val="both"/>
        <w:rPr>
          <w:szCs w:val="24"/>
        </w:rPr>
      </w:pPr>
      <w:r>
        <w:rPr>
          <w:rFonts w:hint="eastAsia"/>
        </w:rPr>
        <w:t>N</w:t>
      </w:r>
      <w:r>
        <w:t xml:space="preserve">umerology is a topic extensively discussed in both RAN1 and RAN meetings. </w:t>
      </w:r>
      <w:r w:rsidR="009A2C11">
        <w:t xml:space="preserve">So far, </w:t>
      </w:r>
      <w:r w:rsidR="009A2C11" w:rsidRPr="00FE5004">
        <w:rPr>
          <w:szCs w:val="24"/>
        </w:rPr>
        <w:t>"Single numerology" proposal</w:t>
      </w:r>
      <w:r w:rsidR="009A2C11">
        <w:rPr>
          <w:szCs w:val="24"/>
        </w:rPr>
        <w:t xml:space="preserve"> is popular in RAN4, such as:</w:t>
      </w:r>
    </w:p>
    <w:p w14:paraId="1D324751" w14:textId="478DDD91" w:rsidR="009A2C11" w:rsidRDefault="009A2C11" w:rsidP="009A2C11">
      <w:pPr>
        <w:pStyle w:val="afff0"/>
        <w:snapToGrid w:val="0"/>
        <w:ind w:left="420" w:firstLineChars="0" w:firstLine="0"/>
        <w:rPr>
          <w:rFonts w:ascii="Times New Roman" w:hAnsi="Times New Roman"/>
          <w:sz w:val="20"/>
          <w:szCs w:val="21"/>
          <w:lang w:val="en-US"/>
        </w:rPr>
      </w:pPr>
      <w:r>
        <w:rPr>
          <w:rFonts w:ascii="Times New Roman" w:hAnsi="Times New Roman" w:hint="eastAsia"/>
          <w:sz w:val="20"/>
          <w:szCs w:val="21"/>
          <w:lang w:val="en-US" w:eastAsia="zh-CN"/>
        </w:rPr>
        <w:t>F</w:t>
      </w:r>
      <w:r>
        <w:rPr>
          <w:rFonts w:ascii="Times New Roman" w:hAnsi="Times New Roman"/>
          <w:sz w:val="20"/>
          <w:szCs w:val="21"/>
          <w:lang w:val="en-US" w:eastAsia="zh-CN"/>
        </w:rPr>
        <w:t>or sub-6GHz</w:t>
      </w:r>
    </w:p>
    <w:p w14:paraId="50FB3178" w14:textId="2879EA55" w:rsidR="009A2C11" w:rsidRDefault="009A2C11" w:rsidP="009A2C11">
      <w:pPr>
        <w:pStyle w:val="afff0"/>
        <w:numPr>
          <w:ilvl w:val="0"/>
          <w:numId w:val="22"/>
        </w:numPr>
        <w:snapToGrid w:val="0"/>
        <w:ind w:firstLineChars="0"/>
        <w:rPr>
          <w:rFonts w:ascii="Times New Roman" w:hAnsi="Times New Roman"/>
          <w:sz w:val="20"/>
          <w:szCs w:val="21"/>
          <w:lang w:val="en-US"/>
        </w:rPr>
      </w:pPr>
      <w:r w:rsidRPr="009A2C11">
        <w:rPr>
          <w:rFonts w:ascii="Times New Roman" w:hAnsi="Times New Roman"/>
          <w:sz w:val="20"/>
          <w:szCs w:val="21"/>
          <w:lang w:val="en-US"/>
        </w:rPr>
        <w:t>15kHz SCS for FDD, 30kHz SCS for TDD</w:t>
      </w:r>
    </w:p>
    <w:p w14:paraId="681F8383" w14:textId="1FE91D8B" w:rsidR="009A2C11" w:rsidRPr="009A2C11" w:rsidRDefault="009A2C11" w:rsidP="009A2C11">
      <w:pPr>
        <w:pStyle w:val="afff0"/>
        <w:snapToGrid w:val="0"/>
        <w:ind w:left="420" w:firstLineChars="0" w:firstLine="0"/>
        <w:rPr>
          <w:rFonts w:ascii="Times New Roman" w:hAnsi="Times New Roman"/>
          <w:sz w:val="20"/>
          <w:szCs w:val="21"/>
          <w:lang w:val="en-US" w:eastAsia="zh-CN"/>
        </w:rPr>
      </w:pPr>
      <w:r>
        <w:rPr>
          <w:rFonts w:ascii="Times New Roman" w:hAnsi="Times New Roman" w:hint="eastAsia"/>
          <w:sz w:val="20"/>
          <w:szCs w:val="21"/>
          <w:lang w:val="en-US" w:eastAsia="zh-CN"/>
        </w:rPr>
        <w:t>F</w:t>
      </w:r>
      <w:r>
        <w:rPr>
          <w:rFonts w:ascii="Times New Roman" w:hAnsi="Times New Roman"/>
          <w:sz w:val="20"/>
          <w:szCs w:val="21"/>
          <w:lang w:val="en-US" w:eastAsia="zh-CN"/>
        </w:rPr>
        <w:t>or around 7GHz</w:t>
      </w:r>
    </w:p>
    <w:p w14:paraId="60461A8B" w14:textId="2E8AC654" w:rsidR="009A2C11" w:rsidRDefault="009A2C11" w:rsidP="009A2C11">
      <w:pPr>
        <w:pStyle w:val="afff0"/>
        <w:numPr>
          <w:ilvl w:val="0"/>
          <w:numId w:val="22"/>
        </w:numPr>
        <w:snapToGrid w:val="0"/>
        <w:ind w:firstLineChars="0"/>
        <w:rPr>
          <w:rFonts w:ascii="Times New Roman" w:hAnsi="Times New Roman"/>
          <w:sz w:val="20"/>
          <w:szCs w:val="21"/>
          <w:lang w:val="en-US"/>
        </w:rPr>
      </w:pPr>
      <w:r w:rsidRPr="009A2C11">
        <w:rPr>
          <w:rFonts w:ascii="Times New Roman" w:hAnsi="Times New Roman"/>
          <w:sz w:val="20"/>
          <w:szCs w:val="21"/>
          <w:lang w:val="en-US"/>
        </w:rPr>
        <w:t>30kHz SCS</w:t>
      </w:r>
    </w:p>
    <w:p w14:paraId="45679C79" w14:textId="78450AFA" w:rsidR="009A2C11" w:rsidRDefault="009A2C11" w:rsidP="009A2C11">
      <w:pPr>
        <w:pStyle w:val="afff0"/>
        <w:snapToGrid w:val="0"/>
        <w:ind w:left="420" w:firstLineChars="0" w:firstLine="0"/>
        <w:rPr>
          <w:rFonts w:ascii="Times New Roman" w:hAnsi="Times New Roman"/>
          <w:sz w:val="20"/>
          <w:szCs w:val="21"/>
          <w:lang w:val="en-US"/>
        </w:rPr>
      </w:pPr>
      <w:r w:rsidRPr="009A2C11">
        <w:rPr>
          <w:rFonts w:ascii="Times New Roman" w:hAnsi="Times New Roman"/>
          <w:sz w:val="20"/>
          <w:szCs w:val="21"/>
          <w:lang w:val="en-US"/>
        </w:rPr>
        <w:t>For between 24.25GHz - 52.6GHz</w:t>
      </w:r>
    </w:p>
    <w:p w14:paraId="0BC320F8" w14:textId="6517E76C" w:rsidR="009A2C11" w:rsidRPr="009A2C11" w:rsidRDefault="009A2C11" w:rsidP="009A2C11">
      <w:pPr>
        <w:pStyle w:val="afff0"/>
        <w:numPr>
          <w:ilvl w:val="0"/>
          <w:numId w:val="22"/>
        </w:numPr>
        <w:snapToGrid w:val="0"/>
        <w:ind w:firstLineChars="0"/>
        <w:rPr>
          <w:rFonts w:ascii="Times New Roman" w:hAnsi="Times New Roman"/>
          <w:sz w:val="20"/>
          <w:szCs w:val="21"/>
          <w:lang w:val="en-US"/>
        </w:rPr>
      </w:pPr>
      <w:r>
        <w:rPr>
          <w:rFonts w:ascii="Times New Roman" w:hAnsi="Times New Roman" w:hint="eastAsia"/>
          <w:sz w:val="20"/>
          <w:szCs w:val="21"/>
          <w:lang w:val="en-US" w:eastAsia="zh-CN"/>
        </w:rPr>
        <w:t>1</w:t>
      </w:r>
      <w:r>
        <w:rPr>
          <w:rFonts w:ascii="Times New Roman" w:hAnsi="Times New Roman"/>
          <w:sz w:val="20"/>
          <w:szCs w:val="21"/>
          <w:lang w:val="en-US" w:eastAsia="zh-CN"/>
        </w:rPr>
        <w:t>20kHz SCS</w:t>
      </w:r>
    </w:p>
    <w:p w14:paraId="1CE74C4D" w14:textId="402101D5" w:rsidR="009A2C11" w:rsidRPr="009A2C11" w:rsidRDefault="009B086F" w:rsidP="009A2C11">
      <w:pPr>
        <w:snapToGrid w:val="0"/>
        <w:spacing w:beforeLines="50" w:before="120"/>
        <w:jc w:val="both"/>
        <w:rPr>
          <w:szCs w:val="21"/>
          <w:lang w:val="x-none"/>
        </w:rPr>
      </w:pPr>
      <w:r w:rsidRPr="009B086F">
        <w:rPr>
          <w:szCs w:val="21"/>
          <w:lang w:val="x-none"/>
        </w:rPr>
        <w:t xml:space="preserve">Building on the 5G experience, a single numerology for sub-6 GHz and FR2 can sufficiently address the majority of deployment scenarios. Adopting a unified numerology helps simplify implementation for both UE and network sides, making it a suitable starting point for 6G studies. The trade-offs involving the combination of FFT size, channel bandwidth, and subcarrier spacing can be discussed under the topic of max </w:t>
      </w:r>
      <w:r>
        <w:rPr>
          <w:szCs w:val="21"/>
          <w:lang w:val="x-none"/>
        </w:rPr>
        <w:t xml:space="preserve">channel </w:t>
      </w:r>
      <w:r w:rsidRPr="009B086F">
        <w:rPr>
          <w:szCs w:val="21"/>
          <w:lang w:val="x-none"/>
        </w:rPr>
        <w:t xml:space="preserve">bandwidth. In the RAN4 study, the focus should be placed on the numerology for the SSB in the initial cell search procedure. </w:t>
      </w:r>
    </w:p>
    <w:p w14:paraId="2770482C" w14:textId="77777777" w:rsidR="00CE60EA" w:rsidRDefault="00CE60EA" w:rsidP="00CE60EA">
      <w:pPr>
        <w:pStyle w:val="af6"/>
        <w:spacing w:after="0"/>
        <w:jc w:val="both"/>
        <w:rPr>
          <w:b/>
          <w:bCs/>
          <w:i/>
          <w:iCs/>
          <w:lang w:val="en-US"/>
        </w:rPr>
      </w:pPr>
      <w:r w:rsidRPr="00302EFF">
        <w:rPr>
          <w:b/>
          <w:bCs/>
          <w:i/>
          <w:iCs/>
          <w:lang w:val="en-US"/>
        </w:rPr>
        <w:t>Proposal</w:t>
      </w:r>
      <w:r>
        <w:rPr>
          <w:b/>
          <w:bCs/>
          <w:i/>
          <w:iCs/>
          <w:lang w:val="en-US"/>
        </w:rPr>
        <w:t xml:space="preserve"> 3-1</w:t>
      </w:r>
      <w:r w:rsidRPr="00302EFF">
        <w:rPr>
          <w:b/>
          <w:bCs/>
          <w:i/>
          <w:iCs/>
          <w:lang w:val="en-US"/>
        </w:rPr>
        <w:t xml:space="preserve">: </w:t>
      </w:r>
      <w:r w:rsidRPr="00FE7646">
        <w:rPr>
          <w:b/>
          <w:bCs/>
          <w:i/>
          <w:iCs/>
          <w:lang w:val="en-US"/>
        </w:rPr>
        <w:t>Single numerology</w:t>
      </w:r>
      <w:r>
        <w:rPr>
          <w:b/>
          <w:bCs/>
          <w:i/>
          <w:iCs/>
          <w:lang w:val="en-US"/>
        </w:rPr>
        <w:t xml:space="preserve"> is considered as starting point for 6G</w:t>
      </w:r>
      <w:r w:rsidRPr="003D3002">
        <w:rPr>
          <w:b/>
          <w:bCs/>
          <w:i/>
          <w:iCs/>
          <w:lang w:val="en-US"/>
        </w:rPr>
        <w:t>.</w:t>
      </w:r>
    </w:p>
    <w:p w14:paraId="198D99E7" w14:textId="77777777" w:rsidR="00CE60EA" w:rsidRDefault="00CE60EA" w:rsidP="00CE60EA">
      <w:pPr>
        <w:pStyle w:val="af6"/>
        <w:numPr>
          <w:ilvl w:val="0"/>
          <w:numId w:val="26"/>
        </w:numPr>
        <w:spacing w:after="0"/>
        <w:jc w:val="both"/>
        <w:rPr>
          <w:b/>
          <w:bCs/>
          <w:i/>
          <w:iCs/>
          <w:lang w:val="en-US"/>
        </w:rPr>
      </w:pPr>
      <w:r>
        <w:rPr>
          <w:rFonts w:hint="eastAsia"/>
          <w:b/>
          <w:bCs/>
          <w:i/>
          <w:iCs/>
          <w:lang w:val="en-US"/>
        </w:rPr>
        <w:t>S</w:t>
      </w:r>
      <w:r>
        <w:rPr>
          <w:b/>
          <w:bCs/>
          <w:i/>
          <w:iCs/>
          <w:lang w:val="en-US"/>
        </w:rPr>
        <w:t>ingle SCS for each band</w:t>
      </w:r>
    </w:p>
    <w:p w14:paraId="6855E531" w14:textId="77777777" w:rsidR="00CE60EA" w:rsidRDefault="00CE60EA" w:rsidP="00CE60EA">
      <w:pPr>
        <w:pStyle w:val="af6"/>
        <w:numPr>
          <w:ilvl w:val="1"/>
          <w:numId w:val="26"/>
        </w:numPr>
        <w:spacing w:after="0"/>
        <w:jc w:val="both"/>
        <w:rPr>
          <w:b/>
          <w:bCs/>
          <w:i/>
          <w:iCs/>
          <w:lang w:val="en-US"/>
        </w:rPr>
      </w:pPr>
      <w:r>
        <w:rPr>
          <w:rFonts w:hint="eastAsia"/>
          <w:b/>
          <w:bCs/>
          <w:i/>
          <w:iCs/>
          <w:lang w:val="en-US"/>
        </w:rPr>
        <w:t>1</w:t>
      </w:r>
      <w:r>
        <w:rPr>
          <w:b/>
          <w:bCs/>
          <w:i/>
          <w:iCs/>
          <w:lang w:val="en-US"/>
        </w:rPr>
        <w:t>5kHz for FDD bands</w:t>
      </w:r>
    </w:p>
    <w:p w14:paraId="4246846F" w14:textId="77777777" w:rsidR="00CE60EA" w:rsidRDefault="00CE60EA" w:rsidP="00CE60EA">
      <w:pPr>
        <w:pStyle w:val="af6"/>
        <w:numPr>
          <w:ilvl w:val="1"/>
          <w:numId w:val="26"/>
        </w:numPr>
        <w:spacing w:after="0"/>
        <w:jc w:val="both"/>
        <w:rPr>
          <w:b/>
          <w:bCs/>
          <w:i/>
          <w:iCs/>
          <w:lang w:val="en-US"/>
        </w:rPr>
      </w:pPr>
      <w:r>
        <w:rPr>
          <w:rFonts w:hint="eastAsia"/>
          <w:b/>
          <w:bCs/>
          <w:i/>
          <w:iCs/>
          <w:lang w:val="en-US"/>
        </w:rPr>
        <w:t>3</w:t>
      </w:r>
      <w:r>
        <w:rPr>
          <w:b/>
          <w:bCs/>
          <w:i/>
          <w:iCs/>
          <w:lang w:val="en-US"/>
        </w:rPr>
        <w:t>0kHz for TDD bands</w:t>
      </w:r>
    </w:p>
    <w:p w14:paraId="265364ED" w14:textId="77777777" w:rsidR="00CE60EA" w:rsidRPr="00EC6F3A" w:rsidRDefault="00CE60EA" w:rsidP="00CE60EA">
      <w:pPr>
        <w:pStyle w:val="af6"/>
        <w:numPr>
          <w:ilvl w:val="0"/>
          <w:numId w:val="26"/>
        </w:numPr>
        <w:jc w:val="both"/>
        <w:rPr>
          <w:b/>
          <w:bCs/>
          <w:i/>
          <w:iCs/>
          <w:lang w:val="en-US"/>
        </w:rPr>
      </w:pPr>
      <w:r>
        <w:rPr>
          <w:rFonts w:hint="eastAsia"/>
          <w:b/>
          <w:bCs/>
          <w:i/>
          <w:iCs/>
          <w:lang w:val="en-US"/>
        </w:rPr>
        <w:t>S</w:t>
      </w:r>
      <w:r>
        <w:rPr>
          <w:b/>
          <w:bCs/>
          <w:i/>
          <w:iCs/>
          <w:lang w:val="en-US"/>
        </w:rPr>
        <w:t>ingle SCS for both data and SSB</w:t>
      </w:r>
    </w:p>
    <w:p w14:paraId="4F13A652" w14:textId="266ADB12" w:rsidR="001A6230" w:rsidRPr="003C5AD9" w:rsidRDefault="001A6230" w:rsidP="003C5AD9">
      <w:pPr>
        <w:pStyle w:val="3"/>
      </w:pPr>
      <w:r w:rsidRPr="003C5AD9">
        <w:rPr>
          <w:rFonts w:hint="eastAsia"/>
        </w:rPr>
        <w:t>S</w:t>
      </w:r>
      <w:r w:rsidRPr="003C5AD9">
        <w:t>pectrum utilization</w:t>
      </w:r>
    </w:p>
    <w:p w14:paraId="2EA5B44D" w14:textId="6B50D621" w:rsidR="00302EFF" w:rsidRPr="00302EFF" w:rsidRDefault="002A646C" w:rsidP="00302EFF">
      <w:pPr>
        <w:jc w:val="both"/>
        <w:rPr>
          <w:lang w:val="en-US"/>
        </w:rPr>
      </w:pPr>
      <w:r w:rsidRPr="005C5502">
        <w:rPr>
          <w:lang w:val="en-US"/>
        </w:rPr>
        <w:t>RAN4 agreement on</w:t>
      </w:r>
      <w:r>
        <w:rPr>
          <w:lang w:val="en-US"/>
        </w:rPr>
        <w:t xml:space="preserve"> spectrum utilization</w:t>
      </w:r>
      <w:r w:rsidRPr="005C5502">
        <w:rPr>
          <w:lang w:val="en-US"/>
        </w:rPr>
        <w:t xml:space="preserve"> is excerpted as below</w:t>
      </w:r>
      <w:r w:rsidR="00302EFF" w:rsidRPr="00302EFF">
        <w:rPr>
          <w:lang w:val="en-US"/>
        </w:rPr>
        <w:t>.</w:t>
      </w:r>
    </w:p>
    <w:tbl>
      <w:tblPr>
        <w:tblStyle w:val="aff"/>
        <w:tblW w:w="0" w:type="auto"/>
        <w:tblLook w:val="04A0" w:firstRow="1" w:lastRow="0" w:firstColumn="1" w:lastColumn="0" w:noHBand="0" w:noVBand="1"/>
      </w:tblPr>
      <w:tblGrid>
        <w:gridCol w:w="9631"/>
      </w:tblGrid>
      <w:tr w:rsidR="00E350A5" w14:paraId="2EB376F2" w14:textId="77777777" w:rsidTr="00E350A5">
        <w:tc>
          <w:tcPr>
            <w:tcW w:w="9631" w:type="dxa"/>
          </w:tcPr>
          <w:p w14:paraId="2F25F9A7" w14:textId="77777777" w:rsidR="00E350A5" w:rsidRPr="00E350A5" w:rsidRDefault="00E350A5" w:rsidP="00E350A5">
            <w:pPr>
              <w:overflowPunct/>
              <w:autoSpaceDE/>
              <w:autoSpaceDN/>
              <w:adjustRightInd/>
              <w:spacing w:after="0"/>
              <w:textAlignment w:val="auto"/>
              <w:rPr>
                <w:szCs w:val="24"/>
                <w:highlight w:val="green"/>
              </w:rPr>
            </w:pPr>
            <w:r w:rsidRPr="00E350A5">
              <w:rPr>
                <w:szCs w:val="24"/>
                <w:highlight w:val="green"/>
              </w:rPr>
              <w:t>Agreement</w:t>
            </w:r>
          </w:p>
          <w:p w14:paraId="5EE7502F" w14:textId="77777777" w:rsidR="00E350A5" w:rsidRPr="00E350A5" w:rsidRDefault="00E350A5" w:rsidP="00E350A5">
            <w:pPr>
              <w:numPr>
                <w:ilvl w:val="0"/>
                <w:numId w:val="18"/>
              </w:numPr>
              <w:overflowPunct/>
              <w:autoSpaceDE/>
              <w:autoSpaceDN/>
              <w:adjustRightInd/>
              <w:spacing w:after="0"/>
              <w:jc w:val="both"/>
              <w:textAlignment w:val="auto"/>
              <w:rPr>
                <w:szCs w:val="24"/>
              </w:rPr>
            </w:pPr>
            <w:r w:rsidRPr="00E350A5">
              <w:rPr>
                <w:szCs w:val="24"/>
              </w:rPr>
              <w:t>Agree on a set of common simulation assumptions for SU evaluation, including PA models, RF impairments (e.g., carrier leakage, I/Q imbalance, phase noise, etc.), and baseline RF requirements (e.g., SEM, ACLR, EVM).</w:t>
            </w:r>
          </w:p>
          <w:p w14:paraId="6AFC1714" w14:textId="77777777" w:rsidR="00E350A5" w:rsidRPr="00E350A5" w:rsidRDefault="00E350A5" w:rsidP="00E350A5">
            <w:pPr>
              <w:numPr>
                <w:ilvl w:val="1"/>
                <w:numId w:val="18"/>
              </w:numPr>
              <w:overflowPunct/>
              <w:autoSpaceDE/>
              <w:autoSpaceDN/>
              <w:adjustRightInd/>
              <w:spacing w:after="0"/>
              <w:jc w:val="both"/>
              <w:textAlignment w:val="auto"/>
              <w:rPr>
                <w:szCs w:val="24"/>
              </w:rPr>
            </w:pPr>
            <w:r w:rsidRPr="00E350A5">
              <w:rPr>
                <w:szCs w:val="24"/>
              </w:rPr>
              <w:t>5G NR channel bandwidth, requirements can be considered as starting point for the SU evaluation with new assumptions for 6G</w:t>
            </w:r>
          </w:p>
          <w:p w14:paraId="640E4BB5" w14:textId="77777777" w:rsidR="00E350A5" w:rsidRPr="00E350A5" w:rsidRDefault="00E350A5" w:rsidP="00E350A5">
            <w:pPr>
              <w:numPr>
                <w:ilvl w:val="0"/>
                <w:numId w:val="18"/>
              </w:numPr>
              <w:overflowPunct/>
              <w:autoSpaceDE/>
              <w:autoSpaceDN/>
              <w:adjustRightInd/>
              <w:spacing w:after="0"/>
              <w:jc w:val="both"/>
              <w:textAlignment w:val="auto"/>
              <w:rPr>
                <w:szCs w:val="24"/>
              </w:rPr>
            </w:pPr>
            <w:r w:rsidRPr="00E350A5">
              <w:rPr>
                <w:szCs w:val="24"/>
              </w:rPr>
              <w:t>Evaluate the RF performance impact (complying with the affected requirements) of advanced spectral confinement techniques (e.g., better filtering, windowing) to understand how many RBs can be enabled</w:t>
            </w:r>
          </w:p>
          <w:p w14:paraId="137B38E5" w14:textId="77777777" w:rsidR="00E350A5" w:rsidRPr="00E350A5" w:rsidRDefault="00E350A5" w:rsidP="00E350A5">
            <w:pPr>
              <w:numPr>
                <w:ilvl w:val="1"/>
                <w:numId w:val="18"/>
              </w:numPr>
              <w:overflowPunct/>
              <w:autoSpaceDE/>
              <w:autoSpaceDN/>
              <w:adjustRightInd/>
              <w:spacing w:after="0"/>
              <w:jc w:val="both"/>
              <w:textAlignment w:val="auto"/>
              <w:rPr>
                <w:szCs w:val="24"/>
              </w:rPr>
            </w:pPr>
            <w:r w:rsidRPr="00E350A5">
              <w:rPr>
                <w:szCs w:val="24"/>
              </w:rPr>
              <w:t>Considering trade-offs between SU, RF performance, and UE/BS complexity</w:t>
            </w:r>
          </w:p>
          <w:p w14:paraId="7942705F" w14:textId="77777777" w:rsidR="00E350A5" w:rsidRPr="00E350A5" w:rsidRDefault="00E350A5" w:rsidP="00E350A5">
            <w:pPr>
              <w:numPr>
                <w:ilvl w:val="1"/>
                <w:numId w:val="18"/>
              </w:numPr>
              <w:overflowPunct/>
              <w:autoSpaceDE/>
              <w:autoSpaceDN/>
              <w:adjustRightInd/>
              <w:spacing w:after="0"/>
              <w:jc w:val="both"/>
              <w:textAlignment w:val="auto"/>
              <w:rPr>
                <w:szCs w:val="24"/>
              </w:rPr>
            </w:pPr>
            <w:r w:rsidRPr="00E350A5">
              <w:rPr>
                <w:rFonts w:hint="eastAsia"/>
                <w:szCs w:val="24"/>
              </w:rPr>
              <w:t>C</w:t>
            </w:r>
            <w:r w:rsidRPr="00E350A5">
              <w:rPr>
                <w:szCs w:val="24"/>
              </w:rPr>
              <w:t>hannel bandwidth and SCS with smaller SU should be prioritized</w:t>
            </w:r>
          </w:p>
          <w:p w14:paraId="04DDDBC9" w14:textId="77777777" w:rsidR="00E350A5" w:rsidRPr="00E350A5" w:rsidRDefault="00E350A5" w:rsidP="00E350A5">
            <w:pPr>
              <w:numPr>
                <w:ilvl w:val="1"/>
                <w:numId w:val="18"/>
              </w:numPr>
              <w:overflowPunct/>
              <w:autoSpaceDE/>
              <w:autoSpaceDN/>
              <w:adjustRightInd/>
              <w:spacing w:after="0"/>
              <w:jc w:val="both"/>
              <w:textAlignment w:val="auto"/>
              <w:rPr>
                <w:szCs w:val="24"/>
              </w:rPr>
            </w:pPr>
            <w:r w:rsidRPr="00E350A5">
              <w:rPr>
                <w:szCs w:val="24"/>
              </w:rPr>
              <w:t>SU for larger channel bandwidth shall be evaluated based on progress on CBW</w:t>
            </w:r>
          </w:p>
          <w:p w14:paraId="3D84E78A" w14:textId="296CEF83" w:rsidR="00E350A5" w:rsidRPr="00E350A5" w:rsidRDefault="00E350A5" w:rsidP="00E350A5">
            <w:pPr>
              <w:numPr>
                <w:ilvl w:val="1"/>
                <w:numId w:val="18"/>
              </w:numPr>
              <w:overflowPunct/>
              <w:autoSpaceDE/>
              <w:autoSpaceDN/>
              <w:adjustRightInd/>
              <w:spacing w:after="0"/>
              <w:jc w:val="both"/>
              <w:textAlignment w:val="auto"/>
              <w:rPr>
                <w:szCs w:val="24"/>
              </w:rPr>
            </w:pPr>
            <w:r w:rsidRPr="00E350A5">
              <w:rPr>
                <w:szCs w:val="24"/>
              </w:rPr>
              <w:t>Closely coordinate with RAN1 on different waveform candidates and SCS configurations.</w:t>
            </w:r>
          </w:p>
        </w:tc>
      </w:tr>
    </w:tbl>
    <w:p w14:paraId="4DEC7819" w14:textId="1B8D21B4" w:rsidR="00302EFF" w:rsidRPr="00302EFF" w:rsidRDefault="00302EFF" w:rsidP="002752CB">
      <w:pPr>
        <w:spacing w:beforeLines="100" w:before="240"/>
        <w:jc w:val="both"/>
        <w:rPr>
          <w:lang w:val="en-US"/>
        </w:rPr>
      </w:pPr>
      <w:r>
        <w:rPr>
          <w:rFonts w:hint="eastAsia"/>
          <w:lang w:val="en-US"/>
        </w:rPr>
        <w:t>T</w:t>
      </w:r>
      <w:r>
        <w:rPr>
          <w:lang w:val="en-US"/>
        </w:rPr>
        <w:t>able below listed the SU for all supported NR channel bandwidths.</w:t>
      </w:r>
    </w:p>
    <w:p w14:paraId="76389D55" w14:textId="0157107B" w:rsidR="00564BD3" w:rsidRPr="00564BD3" w:rsidRDefault="00564BD3" w:rsidP="00564BD3">
      <w:pPr>
        <w:jc w:val="center"/>
        <w:rPr>
          <w:rFonts w:ascii="Arial" w:hAnsi="Arial" w:cs="Arial"/>
          <w:b/>
          <w:bCs/>
          <w:lang w:val="en-US"/>
        </w:rPr>
      </w:pPr>
      <w:r w:rsidRPr="00564BD3">
        <w:rPr>
          <w:rFonts w:ascii="Arial" w:eastAsia="等线" w:hAnsi="Arial" w:cs="Arial"/>
          <w:b/>
          <w:bCs/>
          <w:lang w:eastAsia="en-US"/>
        </w:rPr>
        <w:t>Table 1: Maximum transmission bandwidth configuration N</w:t>
      </w:r>
      <w:r w:rsidRPr="00564BD3">
        <w:rPr>
          <w:rFonts w:ascii="Arial" w:eastAsia="等线" w:hAnsi="Arial" w:cs="Arial"/>
          <w:b/>
          <w:bCs/>
          <w:vertAlign w:val="subscript"/>
          <w:lang w:eastAsia="en-US"/>
        </w:rPr>
        <w:t>RB</w:t>
      </w:r>
      <w:r>
        <w:rPr>
          <w:rFonts w:ascii="Arial" w:eastAsia="等线" w:hAnsi="Arial" w:cs="Arial"/>
          <w:b/>
          <w:bCs/>
          <w:lang w:eastAsia="en-US"/>
        </w:rPr>
        <w:t xml:space="preserve"> and SU ratio</w:t>
      </w:r>
    </w:p>
    <w:tbl>
      <w:tblPr>
        <w:tblW w:w="5000" w:type="pct"/>
        <w:jc w:val="center"/>
        <w:tblLook w:val="04A0" w:firstRow="1" w:lastRow="0" w:firstColumn="1" w:lastColumn="0" w:noHBand="0" w:noVBand="1"/>
      </w:tblPr>
      <w:tblGrid>
        <w:gridCol w:w="1034"/>
        <w:gridCol w:w="445"/>
        <w:gridCol w:w="624"/>
        <w:gridCol w:w="445"/>
        <w:gridCol w:w="625"/>
        <w:gridCol w:w="445"/>
        <w:gridCol w:w="625"/>
        <w:gridCol w:w="445"/>
        <w:gridCol w:w="625"/>
        <w:gridCol w:w="445"/>
        <w:gridCol w:w="625"/>
        <w:gridCol w:w="445"/>
        <w:gridCol w:w="625"/>
        <w:gridCol w:w="445"/>
        <w:gridCol w:w="639"/>
        <w:gridCol w:w="445"/>
        <w:gridCol w:w="639"/>
      </w:tblGrid>
      <w:tr w:rsidR="00563525" w:rsidRPr="00563525" w14:paraId="2B83411E" w14:textId="77777777" w:rsidTr="00FF2017">
        <w:trPr>
          <w:trHeight w:val="38"/>
          <w:jc w:val="center"/>
        </w:trPr>
        <w:tc>
          <w:tcPr>
            <w:tcW w:w="553" w:type="pct"/>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200A277A" w14:textId="156EF9AA"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SCS </w:t>
            </w:r>
            <w:r w:rsidR="00C52163">
              <w:rPr>
                <w:rFonts w:ascii="Calibri" w:hAnsi="Calibri" w:cs="Calibri"/>
                <w:b/>
                <w:bCs/>
                <w:color w:val="000000"/>
                <w:sz w:val="15"/>
                <w:szCs w:val="15"/>
                <w:lang w:val="en-US"/>
              </w:rPr>
              <w:t>(</w:t>
            </w:r>
            <w:r w:rsidRPr="00563525">
              <w:rPr>
                <w:rFonts w:ascii="Calibri" w:hAnsi="Calibri" w:cs="Calibri"/>
                <w:b/>
                <w:bCs/>
                <w:color w:val="000000"/>
                <w:sz w:val="15"/>
                <w:szCs w:val="15"/>
                <w:lang w:val="en-US"/>
              </w:rPr>
              <w:t>kH</w:t>
            </w:r>
            <w:r w:rsidR="00C52163">
              <w:rPr>
                <w:rFonts w:ascii="Calibri" w:hAnsi="Calibri" w:cs="Calibri"/>
                <w:b/>
                <w:bCs/>
                <w:color w:val="000000"/>
                <w:sz w:val="15"/>
                <w:szCs w:val="15"/>
                <w:lang w:val="en-US"/>
              </w:rPr>
              <w:t>z)</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409934B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5088D9BA"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5</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D158EB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F10A34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15</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C5589E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20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68974C7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25</w:t>
            </w:r>
          </w:p>
        </w:tc>
        <w:tc>
          <w:tcPr>
            <w:tcW w:w="564"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0F5D2EE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30</w:t>
            </w:r>
          </w:p>
        </w:tc>
        <w:tc>
          <w:tcPr>
            <w:tcW w:w="564" w:type="pct"/>
            <w:gridSpan w:val="2"/>
            <w:tcBorders>
              <w:top w:val="single" w:sz="8" w:space="0" w:color="auto"/>
              <w:left w:val="nil"/>
              <w:bottom w:val="single" w:sz="4" w:space="0" w:color="auto"/>
              <w:right w:val="single" w:sz="8" w:space="0" w:color="000000"/>
            </w:tcBorders>
            <w:shd w:val="clear" w:color="000000" w:fill="FFFFFF"/>
            <w:noWrap/>
            <w:vAlign w:val="center"/>
            <w:hideMark/>
          </w:tcPr>
          <w:p w14:paraId="04DCF3D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sz w:val="15"/>
                <w:szCs w:val="15"/>
                <w:lang w:val="en-US"/>
              </w:rPr>
            </w:pPr>
            <w:r w:rsidRPr="00563525">
              <w:rPr>
                <w:rFonts w:ascii="Calibri" w:hAnsi="Calibri" w:cs="Calibri"/>
                <w:b/>
                <w:bCs/>
                <w:sz w:val="15"/>
                <w:szCs w:val="15"/>
                <w:lang w:val="en-US"/>
              </w:rPr>
              <w:t>35</w:t>
            </w:r>
          </w:p>
        </w:tc>
      </w:tr>
      <w:tr w:rsidR="00563525" w:rsidRPr="00563525" w14:paraId="6E89989F" w14:textId="77777777" w:rsidTr="00FF2017">
        <w:trPr>
          <w:trHeight w:val="57"/>
          <w:jc w:val="center"/>
        </w:trPr>
        <w:tc>
          <w:tcPr>
            <w:tcW w:w="553" w:type="pct"/>
            <w:vMerge/>
            <w:tcBorders>
              <w:top w:val="single" w:sz="8" w:space="0" w:color="auto"/>
              <w:left w:val="single" w:sz="8" w:space="0" w:color="auto"/>
              <w:bottom w:val="single" w:sz="4" w:space="0" w:color="auto"/>
              <w:right w:val="single" w:sz="4" w:space="0" w:color="auto"/>
            </w:tcBorders>
            <w:vAlign w:val="center"/>
            <w:hideMark/>
          </w:tcPr>
          <w:p w14:paraId="6565F6B6" w14:textId="77777777" w:rsidR="00563525" w:rsidRPr="00563525" w:rsidRDefault="00563525" w:rsidP="00563525">
            <w:pPr>
              <w:overflowPunct/>
              <w:autoSpaceDE/>
              <w:autoSpaceDN/>
              <w:adjustRightInd/>
              <w:snapToGrid w:val="0"/>
              <w:spacing w:after="0"/>
              <w:textAlignment w:val="auto"/>
              <w:rPr>
                <w:rFonts w:ascii="Calibri" w:hAnsi="Calibri" w:cs="Calibri"/>
                <w:b/>
                <w:bCs/>
                <w:color w:val="000000"/>
                <w:sz w:val="15"/>
                <w:szCs w:val="15"/>
                <w:lang w:val="en-US"/>
              </w:rPr>
            </w:pPr>
          </w:p>
        </w:tc>
        <w:tc>
          <w:tcPr>
            <w:tcW w:w="213" w:type="pct"/>
            <w:tcBorders>
              <w:top w:val="nil"/>
              <w:left w:val="nil"/>
              <w:bottom w:val="single" w:sz="4" w:space="0" w:color="auto"/>
              <w:right w:val="single" w:sz="4" w:space="0" w:color="auto"/>
            </w:tcBorders>
            <w:shd w:val="clear" w:color="000000" w:fill="FFFFFF"/>
            <w:noWrap/>
            <w:vAlign w:val="center"/>
            <w:hideMark/>
          </w:tcPr>
          <w:p w14:paraId="13B683A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5BE567D8" w14:textId="52C2C6CF"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0ACDC2E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12BBE8CC" w14:textId="7E33CA4D"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4DDEA6C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71B059B5" w14:textId="20340CDF"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156E70E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48EE73BC" w14:textId="01BC8928"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7EDACC0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2AD16B54" w14:textId="7D8CEC98"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3F0F401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4719C21D" w14:textId="78429B15"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single" w:sz="4" w:space="0" w:color="auto"/>
              <w:right w:val="single" w:sz="4" w:space="0" w:color="auto"/>
            </w:tcBorders>
            <w:shd w:val="clear" w:color="000000" w:fill="FFFFFF"/>
            <w:noWrap/>
            <w:vAlign w:val="center"/>
            <w:hideMark/>
          </w:tcPr>
          <w:p w14:paraId="4238A8A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single" w:sz="4" w:space="0" w:color="auto"/>
              <w:right w:val="single" w:sz="4" w:space="0" w:color="auto"/>
            </w:tcBorders>
            <w:shd w:val="clear" w:color="000000" w:fill="FFFFFF"/>
            <w:noWrap/>
            <w:vAlign w:val="center"/>
            <w:hideMark/>
          </w:tcPr>
          <w:p w14:paraId="12A9F704" w14:textId="11D011E3"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single" w:sz="4" w:space="0" w:color="auto"/>
              <w:right w:val="single" w:sz="4" w:space="0" w:color="auto"/>
            </w:tcBorders>
            <w:shd w:val="clear" w:color="000000" w:fill="FFFFFF"/>
            <w:noWrap/>
            <w:vAlign w:val="center"/>
            <w:hideMark/>
          </w:tcPr>
          <w:p w14:paraId="1D7615B8"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single" w:sz="4" w:space="0" w:color="auto"/>
              <w:right w:val="single" w:sz="8" w:space="0" w:color="auto"/>
            </w:tcBorders>
            <w:shd w:val="clear" w:color="000000" w:fill="FFFFFF"/>
            <w:noWrap/>
            <w:vAlign w:val="center"/>
            <w:hideMark/>
          </w:tcPr>
          <w:p w14:paraId="562BEF56" w14:textId="33715563"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r>
      <w:tr w:rsidR="00563525" w:rsidRPr="00563525" w14:paraId="2D1D508C"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FB0F88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15</w:t>
            </w:r>
          </w:p>
        </w:tc>
        <w:tc>
          <w:tcPr>
            <w:tcW w:w="213" w:type="pct"/>
            <w:tcBorders>
              <w:top w:val="nil"/>
              <w:left w:val="nil"/>
              <w:bottom w:val="nil"/>
              <w:right w:val="single" w:sz="4" w:space="0" w:color="auto"/>
            </w:tcBorders>
            <w:shd w:val="clear" w:color="auto" w:fill="FFE599" w:themeFill="accent4" w:themeFillTint="66"/>
            <w:noWrap/>
            <w:vAlign w:val="bottom"/>
            <w:hideMark/>
          </w:tcPr>
          <w:p w14:paraId="333C55E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15 </w:t>
            </w:r>
          </w:p>
        </w:tc>
        <w:tc>
          <w:tcPr>
            <w:tcW w:w="340" w:type="pct"/>
            <w:tcBorders>
              <w:top w:val="nil"/>
              <w:left w:val="nil"/>
              <w:bottom w:val="nil"/>
              <w:right w:val="single" w:sz="4" w:space="0" w:color="auto"/>
            </w:tcBorders>
            <w:shd w:val="clear" w:color="auto" w:fill="FFE599" w:themeFill="accent4" w:themeFillTint="66"/>
            <w:noWrap/>
            <w:vAlign w:val="bottom"/>
            <w:hideMark/>
          </w:tcPr>
          <w:p w14:paraId="2CB82B2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90.0%</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305B4AE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25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39558FC8"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90.0%</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2279BBE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52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332A7B5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93.6%</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7FCB6E9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79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3A5E352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94.8%</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4B28F52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106 </w:t>
            </w:r>
          </w:p>
        </w:tc>
        <w:tc>
          <w:tcPr>
            <w:tcW w:w="340" w:type="pct"/>
            <w:tcBorders>
              <w:top w:val="nil"/>
              <w:left w:val="nil"/>
              <w:bottom w:val="single" w:sz="4" w:space="0" w:color="auto"/>
              <w:right w:val="single" w:sz="4" w:space="0" w:color="auto"/>
            </w:tcBorders>
            <w:shd w:val="clear" w:color="auto" w:fill="auto"/>
            <w:noWrap/>
            <w:vAlign w:val="bottom"/>
            <w:hideMark/>
          </w:tcPr>
          <w:p w14:paraId="7D519B8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95.4%</w:t>
            </w:r>
          </w:p>
        </w:tc>
        <w:tc>
          <w:tcPr>
            <w:tcW w:w="213" w:type="pct"/>
            <w:tcBorders>
              <w:top w:val="nil"/>
              <w:left w:val="nil"/>
              <w:bottom w:val="single" w:sz="4" w:space="0" w:color="auto"/>
              <w:right w:val="single" w:sz="4" w:space="0" w:color="auto"/>
            </w:tcBorders>
            <w:shd w:val="clear" w:color="000000" w:fill="FFFFFF"/>
            <w:noWrap/>
            <w:vAlign w:val="bottom"/>
            <w:hideMark/>
          </w:tcPr>
          <w:p w14:paraId="3EC96DE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133 </w:t>
            </w:r>
          </w:p>
        </w:tc>
        <w:tc>
          <w:tcPr>
            <w:tcW w:w="340" w:type="pct"/>
            <w:tcBorders>
              <w:top w:val="nil"/>
              <w:left w:val="nil"/>
              <w:bottom w:val="single" w:sz="4" w:space="0" w:color="auto"/>
              <w:right w:val="single" w:sz="4" w:space="0" w:color="auto"/>
            </w:tcBorders>
            <w:shd w:val="clear" w:color="000000" w:fill="FFFFFF"/>
            <w:noWrap/>
            <w:vAlign w:val="bottom"/>
            <w:hideMark/>
          </w:tcPr>
          <w:p w14:paraId="50891BB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95.8%</w:t>
            </w:r>
          </w:p>
        </w:tc>
        <w:tc>
          <w:tcPr>
            <w:tcW w:w="217" w:type="pct"/>
            <w:tcBorders>
              <w:top w:val="nil"/>
              <w:left w:val="nil"/>
              <w:bottom w:val="single" w:sz="4" w:space="0" w:color="auto"/>
              <w:right w:val="single" w:sz="4" w:space="0" w:color="auto"/>
            </w:tcBorders>
            <w:shd w:val="clear" w:color="000000" w:fill="FFFFFF"/>
            <w:noWrap/>
            <w:vAlign w:val="bottom"/>
            <w:hideMark/>
          </w:tcPr>
          <w:p w14:paraId="36FA1B0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160 </w:t>
            </w:r>
          </w:p>
        </w:tc>
        <w:tc>
          <w:tcPr>
            <w:tcW w:w="346" w:type="pct"/>
            <w:tcBorders>
              <w:top w:val="nil"/>
              <w:left w:val="nil"/>
              <w:bottom w:val="single" w:sz="4" w:space="0" w:color="auto"/>
              <w:right w:val="single" w:sz="4" w:space="0" w:color="auto"/>
            </w:tcBorders>
            <w:shd w:val="clear" w:color="000000" w:fill="FFFFFF"/>
            <w:noWrap/>
            <w:vAlign w:val="bottom"/>
            <w:hideMark/>
          </w:tcPr>
          <w:p w14:paraId="33EC58B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96.0%</w:t>
            </w:r>
          </w:p>
        </w:tc>
        <w:tc>
          <w:tcPr>
            <w:tcW w:w="217" w:type="pct"/>
            <w:tcBorders>
              <w:top w:val="nil"/>
              <w:left w:val="nil"/>
              <w:bottom w:val="single" w:sz="4" w:space="0" w:color="auto"/>
              <w:right w:val="single" w:sz="4" w:space="0" w:color="auto"/>
            </w:tcBorders>
            <w:shd w:val="clear" w:color="000000" w:fill="FFFFFF"/>
            <w:noWrap/>
            <w:vAlign w:val="bottom"/>
            <w:hideMark/>
          </w:tcPr>
          <w:p w14:paraId="0D14A85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188 </w:t>
            </w:r>
          </w:p>
        </w:tc>
        <w:tc>
          <w:tcPr>
            <w:tcW w:w="346" w:type="pct"/>
            <w:tcBorders>
              <w:top w:val="nil"/>
              <w:left w:val="nil"/>
              <w:bottom w:val="single" w:sz="4" w:space="0" w:color="auto"/>
              <w:right w:val="single" w:sz="8" w:space="0" w:color="auto"/>
            </w:tcBorders>
            <w:shd w:val="clear" w:color="000000" w:fill="FFFFFF"/>
            <w:noWrap/>
            <w:vAlign w:val="bottom"/>
            <w:hideMark/>
          </w:tcPr>
          <w:p w14:paraId="6C8B0A7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96.7%</w:t>
            </w:r>
          </w:p>
        </w:tc>
      </w:tr>
      <w:tr w:rsidR="00563525" w:rsidRPr="00563525" w14:paraId="4013D528"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58A7D21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30</w:t>
            </w:r>
          </w:p>
        </w:tc>
        <w:tc>
          <w:tcPr>
            <w:tcW w:w="213" w:type="pct"/>
            <w:tcBorders>
              <w:top w:val="single" w:sz="4" w:space="0" w:color="auto"/>
              <w:left w:val="single" w:sz="4" w:space="0" w:color="auto"/>
              <w:bottom w:val="nil"/>
              <w:right w:val="nil"/>
            </w:tcBorders>
            <w:shd w:val="clear" w:color="000000" w:fill="FFFFFF"/>
            <w:noWrap/>
            <w:vAlign w:val="bottom"/>
            <w:hideMark/>
          </w:tcPr>
          <w:p w14:paraId="393498C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340" w:type="pct"/>
            <w:tcBorders>
              <w:top w:val="single" w:sz="4" w:space="0" w:color="auto"/>
              <w:left w:val="nil"/>
              <w:bottom w:val="nil"/>
              <w:right w:val="single" w:sz="4" w:space="0" w:color="auto"/>
            </w:tcBorders>
            <w:shd w:val="clear" w:color="000000" w:fill="FFFFFF"/>
            <w:noWrap/>
            <w:vAlign w:val="bottom"/>
            <w:hideMark/>
          </w:tcPr>
          <w:p w14:paraId="31D5AF89"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 xml:space="preserve">　</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6DBBD8C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11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5A79665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79.2%</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7E5751FE"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 </w:t>
            </w:r>
          </w:p>
        </w:tc>
        <w:tc>
          <w:tcPr>
            <w:tcW w:w="340" w:type="pct"/>
            <w:tcBorders>
              <w:top w:val="nil"/>
              <w:left w:val="nil"/>
              <w:bottom w:val="nil"/>
              <w:right w:val="single" w:sz="4" w:space="0" w:color="auto"/>
            </w:tcBorders>
            <w:shd w:val="clear" w:color="auto" w:fill="FFE599" w:themeFill="accent4" w:themeFillTint="66"/>
            <w:noWrap/>
            <w:vAlign w:val="bottom"/>
            <w:hideMark/>
          </w:tcPr>
          <w:p w14:paraId="76F1874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86.4%</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2AE01234"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38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7127132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91.2%</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0316BD34"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51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1A65151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91.8%</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32E6B26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65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5756055C"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93.6%</w:t>
            </w:r>
          </w:p>
        </w:tc>
        <w:tc>
          <w:tcPr>
            <w:tcW w:w="217" w:type="pct"/>
            <w:tcBorders>
              <w:top w:val="nil"/>
              <w:left w:val="nil"/>
              <w:bottom w:val="single" w:sz="4" w:space="0" w:color="auto"/>
              <w:right w:val="single" w:sz="4" w:space="0" w:color="auto"/>
            </w:tcBorders>
            <w:shd w:val="clear" w:color="auto" w:fill="FFE599" w:themeFill="accent4" w:themeFillTint="66"/>
            <w:noWrap/>
            <w:vAlign w:val="bottom"/>
            <w:hideMark/>
          </w:tcPr>
          <w:p w14:paraId="1A18774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78 </w:t>
            </w:r>
          </w:p>
        </w:tc>
        <w:tc>
          <w:tcPr>
            <w:tcW w:w="346" w:type="pct"/>
            <w:tcBorders>
              <w:top w:val="nil"/>
              <w:left w:val="nil"/>
              <w:bottom w:val="single" w:sz="4" w:space="0" w:color="auto"/>
              <w:right w:val="single" w:sz="4" w:space="0" w:color="auto"/>
            </w:tcBorders>
            <w:shd w:val="clear" w:color="auto" w:fill="FFE599" w:themeFill="accent4" w:themeFillTint="66"/>
            <w:noWrap/>
            <w:vAlign w:val="bottom"/>
            <w:hideMark/>
          </w:tcPr>
          <w:p w14:paraId="37A3FAD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93.6%</w:t>
            </w:r>
          </w:p>
        </w:tc>
        <w:tc>
          <w:tcPr>
            <w:tcW w:w="217" w:type="pct"/>
            <w:tcBorders>
              <w:top w:val="nil"/>
              <w:left w:val="nil"/>
              <w:bottom w:val="single" w:sz="4" w:space="0" w:color="auto"/>
              <w:right w:val="single" w:sz="4" w:space="0" w:color="auto"/>
            </w:tcBorders>
            <w:shd w:val="clear" w:color="auto" w:fill="FFE599" w:themeFill="accent4" w:themeFillTint="66"/>
            <w:noWrap/>
            <w:vAlign w:val="bottom"/>
            <w:hideMark/>
          </w:tcPr>
          <w:p w14:paraId="28DAD81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92 </w:t>
            </w:r>
          </w:p>
        </w:tc>
        <w:tc>
          <w:tcPr>
            <w:tcW w:w="346" w:type="pct"/>
            <w:tcBorders>
              <w:top w:val="nil"/>
              <w:left w:val="nil"/>
              <w:bottom w:val="single" w:sz="4" w:space="0" w:color="auto"/>
              <w:right w:val="single" w:sz="8" w:space="0" w:color="auto"/>
            </w:tcBorders>
            <w:shd w:val="clear" w:color="auto" w:fill="FFE599" w:themeFill="accent4" w:themeFillTint="66"/>
            <w:noWrap/>
            <w:vAlign w:val="bottom"/>
            <w:hideMark/>
          </w:tcPr>
          <w:p w14:paraId="6EA1610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94.6%</w:t>
            </w:r>
          </w:p>
        </w:tc>
      </w:tr>
      <w:tr w:rsidR="00563525" w:rsidRPr="00563525" w14:paraId="64DE5DE0" w14:textId="77777777" w:rsidTr="00FF2017">
        <w:trPr>
          <w:trHeight w:val="44"/>
          <w:jc w:val="center"/>
        </w:trPr>
        <w:tc>
          <w:tcPr>
            <w:tcW w:w="553" w:type="pct"/>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53E53F5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60</w:t>
            </w:r>
          </w:p>
        </w:tc>
        <w:tc>
          <w:tcPr>
            <w:tcW w:w="213" w:type="pct"/>
            <w:tcBorders>
              <w:top w:val="nil"/>
              <w:left w:val="nil"/>
              <w:bottom w:val="single" w:sz="8" w:space="0" w:color="auto"/>
              <w:right w:val="nil"/>
            </w:tcBorders>
            <w:shd w:val="clear" w:color="000000" w:fill="FFFFFF"/>
            <w:noWrap/>
            <w:vAlign w:val="bottom"/>
            <w:hideMark/>
          </w:tcPr>
          <w:p w14:paraId="1CBCB8D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340" w:type="pct"/>
            <w:tcBorders>
              <w:top w:val="nil"/>
              <w:left w:val="nil"/>
              <w:bottom w:val="single" w:sz="8" w:space="0" w:color="auto"/>
              <w:right w:val="nil"/>
            </w:tcBorders>
            <w:shd w:val="clear" w:color="000000" w:fill="FFFFFF"/>
            <w:noWrap/>
            <w:vAlign w:val="bottom"/>
            <w:hideMark/>
          </w:tcPr>
          <w:p w14:paraId="0F0BD2B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213" w:type="pct"/>
            <w:tcBorders>
              <w:top w:val="nil"/>
              <w:left w:val="single" w:sz="4" w:space="0" w:color="auto"/>
              <w:bottom w:val="single" w:sz="8" w:space="0" w:color="auto"/>
              <w:right w:val="nil"/>
            </w:tcBorders>
            <w:shd w:val="clear" w:color="000000" w:fill="FFFFFF"/>
            <w:noWrap/>
            <w:vAlign w:val="bottom"/>
            <w:hideMark/>
          </w:tcPr>
          <w:p w14:paraId="539FA2A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340" w:type="pct"/>
            <w:tcBorders>
              <w:top w:val="nil"/>
              <w:left w:val="nil"/>
              <w:bottom w:val="single" w:sz="8" w:space="0" w:color="auto"/>
              <w:right w:val="single" w:sz="4" w:space="0" w:color="auto"/>
            </w:tcBorders>
            <w:shd w:val="clear" w:color="000000" w:fill="FFFFFF"/>
            <w:noWrap/>
            <w:vAlign w:val="bottom"/>
            <w:hideMark/>
          </w:tcPr>
          <w:p w14:paraId="2E30ABC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1C3ABE7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11 </w:t>
            </w:r>
          </w:p>
        </w:tc>
        <w:tc>
          <w:tcPr>
            <w:tcW w:w="340" w:type="pct"/>
            <w:tcBorders>
              <w:top w:val="single" w:sz="4" w:space="0" w:color="auto"/>
              <w:left w:val="nil"/>
              <w:bottom w:val="single" w:sz="8" w:space="0" w:color="auto"/>
              <w:right w:val="single" w:sz="4" w:space="0" w:color="auto"/>
            </w:tcBorders>
            <w:shd w:val="clear" w:color="auto" w:fill="FFE599" w:themeFill="accent4" w:themeFillTint="66"/>
            <w:noWrap/>
            <w:vAlign w:val="bottom"/>
            <w:hideMark/>
          </w:tcPr>
          <w:p w14:paraId="14A9DEE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79.2%</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53D83D0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18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29AAD100"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86.4%</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1920A61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1490D04C"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86.4%</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1293A47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31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45192D3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89.3%</w:t>
            </w:r>
          </w:p>
        </w:tc>
        <w:tc>
          <w:tcPr>
            <w:tcW w:w="217" w:type="pct"/>
            <w:tcBorders>
              <w:top w:val="nil"/>
              <w:left w:val="nil"/>
              <w:bottom w:val="single" w:sz="8" w:space="0" w:color="auto"/>
              <w:right w:val="single" w:sz="4" w:space="0" w:color="auto"/>
            </w:tcBorders>
            <w:shd w:val="clear" w:color="auto" w:fill="FFE599" w:themeFill="accent4" w:themeFillTint="66"/>
            <w:noWrap/>
            <w:vAlign w:val="bottom"/>
            <w:hideMark/>
          </w:tcPr>
          <w:p w14:paraId="71E780F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38 </w:t>
            </w:r>
          </w:p>
        </w:tc>
        <w:tc>
          <w:tcPr>
            <w:tcW w:w="346" w:type="pct"/>
            <w:tcBorders>
              <w:top w:val="nil"/>
              <w:left w:val="nil"/>
              <w:bottom w:val="single" w:sz="8" w:space="0" w:color="auto"/>
              <w:right w:val="single" w:sz="4" w:space="0" w:color="auto"/>
            </w:tcBorders>
            <w:shd w:val="clear" w:color="auto" w:fill="FFE599" w:themeFill="accent4" w:themeFillTint="66"/>
            <w:noWrap/>
            <w:vAlign w:val="bottom"/>
            <w:hideMark/>
          </w:tcPr>
          <w:p w14:paraId="594BB7EF"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91.2%</w:t>
            </w:r>
          </w:p>
        </w:tc>
        <w:tc>
          <w:tcPr>
            <w:tcW w:w="217" w:type="pct"/>
            <w:tcBorders>
              <w:top w:val="nil"/>
              <w:left w:val="nil"/>
              <w:bottom w:val="single" w:sz="8" w:space="0" w:color="auto"/>
              <w:right w:val="single" w:sz="4" w:space="0" w:color="auto"/>
            </w:tcBorders>
            <w:shd w:val="clear" w:color="auto" w:fill="FFE599" w:themeFill="accent4" w:themeFillTint="66"/>
            <w:noWrap/>
            <w:vAlign w:val="bottom"/>
            <w:hideMark/>
          </w:tcPr>
          <w:p w14:paraId="48DC1FD2"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44 </w:t>
            </w:r>
          </w:p>
        </w:tc>
        <w:tc>
          <w:tcPr>
            <w:tcW w:w="346" w:type="pct"/>
            <w:tcBorders>
              <w:top w:val="nil"/>
              <w:left w:val="nil"/>
              <w:bottom w:val="single" w:sz="8" w:space="0" w:color="auto"/>
              <w:right w:val="single" w:sz="8" w:space="0" w:color="auto"/>
            </w:tcBorders>
            <w:shd w:val="clear" w:color="auto" w:fill="FFE599" w:themeFill="accent4" w:themeFillTint="66"/>
            <w:noWrap/>
            <w:vAlign w:val="bottom"/>
            <w:hideMark/>
          </w:tcPr>
          <w:p w14:paraId="3FBD868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90.5%</w:t>
            </w:r>
          </w:p>
        </w:tc>
      </w:tr>
      <w:tr w:rsidR="00563525" w:rsidRPr="00563525" w14:paraId="0C196376" w14:textId="77777777" w:rsidTr="00FF2017">
        <w:trPr>
          <w:trHeight w:val="34"/>
          <w:jc w:val="center"/>
        </w:trPr>
        <w:tc>
          <w:tcPr>
            <w:tcW w:w="553" w:type="pct"/>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41C4581B" w14:textId="3256B680"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SCS </w:t>
            </w:r>
            <w:r w:rsidR="00C52163">
              <w:rPr>
                <w:rFonts w:ascii="Calibri" w:hAnsi="Calibri" w:cs="Calibri"/>
                <w:b/>
                <w:bCs/>
                <w:color w:val="000000"/>
                <w:sz w:val="15"/>
                <w:szCs w:val="15"/>
                <w:lang w:val="en-US"/>
              </w:rPr>
              <w:t>(</w:t>
            </w:r>
            <w:r w:rsidR="00C52163" w:rsidRPr="00563525">
              <w:rPr>
                <w:rFonts w:ascii="Calibri" w:hAnsi="Calibri" w:cs="Calibri"/>
                <w:b/>
                <w:bCs/>
                <w:color w:val="000000"/>
                <w:sz w:val="15"/>
                <w:szCs w:val="15"/>
                <w:lang w:val="en-US"/>
              </w:rPr>
              <w:t>kH</w:t>
            </w:r>
            <w:r w:rsidR="00C52163">
              <w:rPr>
                <w:rFonts w:ascii="Calibri" w:hAnsi="Calibri" w:cs="Calibri"/>
                <w:b/>
                <w:bCs/>
                <w:color w:val="000000"/>
                <w:sz w:val="15"/>
                <w:szCs w:val="15"/>
                <w:lang w:val="en-US"/>
              </w:rPr>
              <w:t>z)</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474D5B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40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313748B0"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45</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30EC49C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50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73D80A5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60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4211E01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70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42CF5BA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80</w:t>
            </w:r>
          </w:p>
        </w:tc>
        <w:tc>
          <w:tcPr>
            <w:tcW w:w="564" w:type="pct"/>
            <w:gridSpan w:val="2"/>
            <w:tcBorders>
              <w:top w:val="single" w:sz="8" w:space="0" w:color="auto"/>
              <w:left w:val="nil"/>
              <w:bottom w:val="single" w:sz="4" w:space="0" w:color="auto"/>
              <w:right w:val="single" w:sz="4" w:space="0" w:color="000000"/>
            </w:tcBorders>
            <w:shd w:val="clear" w:color="000000" w:fill="FFFFFF"/>
            <w:noWrap/>
            <w:vAlign w:val="center"/>
            <w:hideMark/>
          </w:tcPr>
          <w:p w14:paraId="27FCDCF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90</w:t>
            </w:r>
          </w:p>
        </w:tc>
        <w:tc>
          <w:tcPr>
            <w:tcW w:w="564" w:type="pct"/>
            <w:gridSpan w:val="2"/>
            <w:tcBorders>
              <w:top w:val="single" w:sz="8" w:space="0" w:color="auto"/>
              <w:left w:val="nil"/>
              <w:bottom w:val="single" w:sz="4" w:space="0" w:color="auto"/>
              <w:right w:val="single" w:sz="8" w:space="0" w:color="000000"/>
            </w:tcBorders>
            <w:shd w:val="clear" w:color="000000" w:fill="FFFFFF"/>
            <w:noWrap/>
            <w:vAlign w:val="center"/>
            <w:hideMark/>
          </w:tcPr>
          <w:p w14:paraId="2AB5661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100</w:t>
            </w:r>
          </w:p>
        </w:tc>
      </w:tr>
      <w:tr w:rsidR="00563525" w:rsidRPr="00563525" w14:paraId="42427D25" w14:textId="77777777" w:rsidTr="00FF2017">
        <w:trPr>
          <w:trHeight w:val="34"/>
          <w:jc w:val="center"/>
        </w:trPr>
        <w:tc>
          <w:tcPr>
            <w:tcW w:w="553" w:type="pct"/>
            <w:vMerge/>
            <w:tcBorders>
              <w:top w:val="single" w:sz="8" w:space="0" w:color="auto"/>
              <w:left w:val="single" w:sz="8" w:space="0" w:color="auto"/>
              <w:bottom w:val="single" w:sz="4" w:space="0" w:color="auto"/>
              <w:right w:val="single" w:sz="4" w:space="0" w:color="auto"/>
            </w:tcBorders>
            <w:vAlign w:val="center"/>
            <w:hideMark/>
          </w:tcPr>
          <w:p w14:paraId="45094BB5" w14:textId="77777777" w:rsidR="00563525" w:rsidRPr="00563525" w:rsidRDefault="00563525" w:rsidP="00563525">
            <w:pPr>
              <w:overflowPunct/>
              <w:autoSpaceDE/>
              <w:autoSpaceDN/>
              <w:adjustRightInd/>
              <w:snapToGrid w:val="0"/>
              <w:spacing w:after="0"/>
              <w:textAlignment w:val="auto"/>
              <w:rPr>
                <w:rFonts w:ascii="Calibri" w:hAnsi="Calibri" w:cs="Calibri"/>
                <w:b/>
                <w:bCs/>
                <w:color w:val="000000"/>
                <w:sz w:val="15"/>
                <w:szCs w:val="15"/>
                <w:lang w:val="en-US"/>
              </w:rPr>
            </w:pPr>
          </w:p>
        </w:tc>
        <w:tc>
          <w:tcPr>
            <w:tcW w:w="213" w:type="pct"/>
            <w:tcBorders>
              <w:top w:val="nil"/>
              <w:left w:val="nil"/>
              <w:bottom w:val="single" w:sz="4" w:space="0" w:color="auto"/>
              <w:right w:val="single" w:sz="4" w:space="0" w:color="auto"/>
            </w:tcBorders>
            <w:shd w:val="clear" w:color="000000" w:fill="FFFFFF"/>
            <w:noWrap/>
            <w:vAlign w:val="center"/>
            <w:hideMark/>
          </w:tcPr>
          <w:p w14:paraId="10AA2E2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6BBA62DD" w14:textId="080B61E1"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686FB56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208F8A89" w14:textId="73AB2B4F"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3DC27A3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68D87982" w14:textId="642EDDED"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nil"/>
              <w:right w:val="single" w:sz="4" w:space="0" w:color="auto"/>
            </w:tcBorders>
            <w:shd w:val="clear" w:color="000000" w:fill="FFFFFF"/>
            <w:noWrap/>
            <w:vAlign w:val="center"/>
            <w:hideMark/>
          </w:tcPr>
          <w:p w14:paraId="53BA5A0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nil"/>
              <w:right w:val="single" w:sz="4" w:space="0" w:color="auto"/>
            </w:tcBorders>
            <w:shd w:val="clear" w:color="000000" w:fill="FFFFFF"/>
            <w:noWrap/>
            <w:vAlign w:val="center"/>
            <w:hideMark/>
          </w:tcPr>
          <w:p w14:paraId="2F1C844D" w14:textId="52EEC409"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nil"/>
              <w:right w:val="single" w:sz="4" w:space="0" w:color="auto"/>
            </w:tcBorders>
            <w:shd w:val="clear" w:color="000000" w:fill="FFFFFF"/>
            <w:noWrap/>
            <w:vAlign w:val="center"/>
            <w:hideMark/>
          </w:tcPr>
          <w:p w14:paraId="740C5BE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nil"/>
              <w:right w:val="single" w:sz="4" w:space="0" w:color="auto"/>
            </w:tcBorders>
            <w:shd w:val="clear" w:color="000000" w:fill="FFFFFF"/>
            <w:noWrap/>
            <w:vAlign w:val="center"/>
            <w:hideMark/>
          </w:tcPr>
          <w:p w14:paraId="192FB120" w14:textId="29A9FDD9"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nil"/>
              <w:right w:val="single" w:sz="4" w:space="0" w:color="auto"/>
            </w:tcBorders>
            <w:shd w:val="clear" w:color="000000" w:fill="FFFFFF"/>
            <w:noWrap/>
            <w:vAlign w:val="center"/>
            <w:hideMark/>
          </w:tcPr>
          <w:p w14:paraId="55AACF3F"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nil"/>
              <w:right w:val="single" w:sz="4" w:space="0" w:color="auto"/>
            </w:tcBorders>
            <w:shd w:val="clear" w:color="000000" w:fill="FFFFFF"/>
            <w:noWrap/>
            <w:vAlign w:val="center"/>
            <w:hideMark/>
          </w:tcPr>
          <w:p w14:paraId="14DD8DB0" w14:textId="2CABC7A1"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nil"/>
              <w:right w:val="single" w:sz="4" w:space="0" w:color="auto"/>
            </w:tcBorders>
            <w:shd w:val="clear" w:color="000000" w:fill="FFFFFF"/>
            <w:noWrap/>
            <w:vAlign w:val="center"/>
            <w:hideMark/>
          </w:tcPr>
          <w:p w14:paraId="12915EB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nil"/>
              <w:right w:val="single" w:sz="4" w:space="0" w:color="auto"/>
            </w:tcBorders>
            <w:shd w:val="clear" w:color="000000" w:fill="FFFFFF"/>
            <w:noWrap/>
            <w:vAlign w:val="center"/>
            <w:hideMark/>
          </w:tcPr>
          <w:p w14:paraId="6DEAB09F" w14:textId="4E4CA8C7"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nil"/>
              <w:right w:val="single" w:sz="4" w:space="0" w:color="auto"/>
            </w:tcBorders>
            <w:shd w:val="clear" w:color="000000" w:fill="FFFFFF"/>
            <w:noWrap/>
            <w:vAlign w:val="center"/>
            <w:hideMark/>
          </w:tcPr>
          <w:p w14:paraId="5F86BB6C"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nil"/>
              <w:right w:val="single" w:sz="8" w:space="0" w:color="auto"/>
            </w:tcBorders>
            <w:shd w:val="clear" w:color="000000" w:fill="FFFFFF"/>
            <w:noWrap/>
            <w:vAlign w:val="center"/>
            <w:hideMark/>
          </w:tcPr>
          <w:p w14:paraId="4ED0FB38" w14:textId="3C4EEBA0"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r>
      <w:tr w:rsidR="00563525" w:rsidRPr="00563525" w14:paraId="2CD2CE93"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BC7BA34"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15</w:t>
            </w:r>
          </w:p>
        </w:tc>
        <w:tc>
          <w:tcPr>
            <w:tcW w:w="213" w:type="pct"/>
            <w:tcBorders>
              <w:top w:val="nil"/>
              <w:left w:val="nil"/>
              <w:bottom w:val="single" w:sz="4" w:space="0" w:color="auto"/>
              <w:right w:val="single" w:sz="4" w:space="0" w:color="auto"/>
            </w:tcBorders>
            <w:shd w:val="clear" w:color="000000" w:fill="FFFFFF"/>
            <w:noWrap/>
            <w:vAlign w:val="bottom"/>
            <w:hideMark/>
          </w:tcPr>
          <w:p w14:paraId="083F147E"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216 </w:t>
            </w:r>
          </w:p>
        </w:tc>
        <w:tc>
          <w:tcPr>
            <w:tcW w:w="340" w:type="pct"/>
            <w:tcBorders>
              <w:top w:val="nil"/>
              <w:left w:val="nil"/>
              <w:bottom w:val="single" w:sz="4" w:space="0" w:color="auto"/>
              <w:right w:val="single" w:sz="4" w:space="0" w:color="auto"/>
            </w:tcBorders>
            <w:shd w:val="clear" w:color="000000" w:fill="FFFFFF"/>
            <w:noWrap/>
            <w:vAlign w:val="bottom"/>
            <w:hideMark/>
          </w:tcPr>
          <w:p w14:paraId="7701D0B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c>
          <w:tcPr>
            <w:tcW w:w="213" w:type="pct"/>
            <w:tcBorders>
              <w:top w:val="nil"/>
              <w:left w:val="nil"/>
              <w:bottom w:val="single" w:sz="4" w:space="0" w:color="auto"/>
              <w:right w:val="single" w:sz="4" w:space="0" w:color="auto"/>
            </w:tcBorders>
            <w:shd w:val="clear" w:color="000000" w:fill="FFFFFF"/>
            <w:noWrap/>
            <w:vAlign w:val="bottom"/>
            <w:hideMark/>
          </w:tcPr>
          <w:p w14:paraId="1BB08CA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242 </w:t>
            </w:r>
          </w:p>
        </w:tc>
        <w:tc>
          <w:tcPr>
            <w:tcW w:w="340" w:type="pct"/>
            <w:tcBorders>
              <w:top w:val="nil"/>
              <w:left w:val="nil"/>
              <w:bottom w:val="single" w:sz="4" w:space="0" w:color="auto"/>
              <w:right w:val="single" w:sz="4" w:space="0" w:color="auto"/>
            </w:tcBorders>
            <w:shd w:val="clear" w:color="000000" w:fill="FFFFFF"/>
            <w:noWrap/>
            <w:vAlign w:val="bottom"/>
            <w:hideMark/>
          </w:tcPr>
          <w:p w14:paraId="5F11389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96.8%</w:t>
            </w:r>
          </w:p>
        </w:tc>
        <w:tc>
          <w:tcPr>
            <w:tcW w:w="213" w:type="pct"/>
            <w:tcBorders>
              <w:top w:val="nil"/>
              <w:left w:val="nil"/>
              <w:bottom w:val="single" w:sz="4" w:space="0" w:color="auto"/>
              <w:right w:val="single" w:sz="4" w:space="0" w:color="auto"/>
            </w:tcBorders>
            <w:shd w:val="clear" w:color="000000" w:fill="FFFFFF"/>
            <w:noWrap/>
            <w:vAlign w:val="bottom"/>
            <w:hideMark/>
          </w:tcPr>
          <w:p w14:paraId="32B4C2B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270 </w:t>
            </w:r>
          </w:p>
        </w:tc>
        <w:tc>
          <w:tcPr>
            <w:tcW w:w="340" w:type="pct"/>
            <w:tcBorders>
              <w:top w:val="nil"/>
              <w:left w:val="nil"/>
              <w:bottom w:val="single" w:sz="4" w:space="0" w:color="auto"/>
              <w:right w:val="nil"/>
            </w:tcBorders>
            <w:shd w:val="clear" w:color="000000" w:fill="FFFFFF"/>
            <w:noWrap/>
            <w:vAlign w:val="bottom"/>
            <w:hideMark/>
          </w:tcPr>
          <w:p w14:paraId="5B9F83E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96.5%</w:t>
            </w:r>
          </w:p>
        </w:tc>
        <w:tc>
          <w:tcPr>
            <w:tcW w:w="213" w:type="pct"/>
            <w:tcBorders>
              <w:top w:val="single" w:sz="4" w:space="0" w:color="auto"/>
              <w:left w:val="single" w:sz="4" w:space="0" w:color="auto"/>
              <w:bottom w:val="single" w:sz="4" w:space="0" w:color="auto"/>
              <w:right w:val="nil"/>
            </w:tcBorders>
            <w:shd w:val="clear" w:color="000000" w:fill="FFFFFF"/>
            <w:noWrap/>
            <w:vAlign w:val="bottom"/>
            <w:hideMark/>
          </w:tcPr>
          <w:p w14:paraId="119349E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FF0000"/>
                <w:sz w:val="15"/>
                <w:szCs w:val="15"/>
                <w:lang w:val="en-US"/>
              </w:rPr>
            </w:pPr>
            <w:r w:rsidRPr="00563525">
              <w:rPr>
                <w:rFonts w:ascii="Calibri" w:hAnsi="Calibri" w:cs="Calibri"/>
                <w:b/>
                <w:bCs/>
                <w:color w:val="FF0000"/>
                <w:sz w:val="15"/>
                <w:szCs w:val="15"/>
                <w:lang w:val="en-US"/>
              </w:rPr>
              <w:t xml:space="preserve">　</w:t>
            </w:r>
          </w:p>
        </w:tc>
        <w:tc>
          <w:tcPr>
            <w:tcW w:w="340" w:type="pct"/>
            <w:tcBorders>
              <w:top w:val="single" w:sz="4" w:space="0" w:color="auto"/>
              <w:left w:val="nil"/>
              <w:bottom w:val="single" w:sz="4" w:space="0" w:color="auto"/>
              <w:right w:val="nil"/>
            </w:tcBorders>
            <w:shd w:val="clear" w:color="000000" w:fill="FFFFFF"/>
            <w:noWrap/>
            <w:vAlign w:val="bottom"/>
            <w:hideMark/>
          </w:tcPr>
          <w:p w14:paraId="5A87ADE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FF0000"/>
                <w:sz w:val="15"/>
                <w:szCs w:val="15"/>
                <w:lang w:val="en-US"/>
              </w:rPr>
            </w:pPr>
            <w:r w:rsidRPr="00563525">
              <w:rPr>
                <w:rFonts w:ascii="Calibri" w:hAnsi="Calibri" w:cs="Calibri"/>
                <w:color w:val="FF0000"/>
                <w:sz w:val="15"/>
                <w:szCs w:val="15"/>
                <w:lang w:val="en-US"/>
              </w:rPr>
              <w:t xml:space="preserve">　</w:t>
            </w:r>
          </w:p>
        </w:tc>
        <w:tc>
          <w:tcPr>
            <w:tcW w:w="213" w:type="pct"/>
            <w:tcBorders>
              <w:top w:val="single" w:sz="4" w:space="0" w:color="auto"/>
              <w:left w:val="nil"/>
              <w:bottom w:val="single" w:sz="4" w:space="0" w:color="auto"/>
              <w:right w:val="nil"/>
            </w:tcBorders>
            <w:shd w:val="clear" w:color="000000" w:fill="FFFFFF"/>
            <w:noWrap/>
            <w:vAlign w:val="bottom"/>
            <w:hideMark/>
          </w:tcPr>
          <w:p w14:paraId="2226BE6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FF0000"/>
                <w:sz w:val="15"/>
                <w:szCs w:val="15"/>
                <w:lang w:val="en-US"/>
              </w:rPr>
            </w:pPr>
            <w:r w:rsidRPr="00563525">
              <w:rPr>
                <w:rFonts w:ascii="Calibri" w:hAnsi="Calibri" w:cs="Calibri"/>
                <w:color w:val="FF0000"/>
                <w:sz w:val="15"/>
                <w:szCs w:val="15"/>
                <w:lang w:val="en-US"/>
              </w:rPr>
              <w:t xml:space="preserve">　</w:t>
            </w:r>
          </w:p>
        </w:tc>
        <w:tc>
          <w:tcPr>
            <w:tcW w:w="340" w:type="pct"/>
            <w:tcBorders>
              <w:top w:val="single" w:sz="4" w:space="0" w:color="auto"/>
              <w:left w:val="nil"/>
              <w:bottom w:val="single" w:sz="4" w:space="0" w:color="auto"/>
              <w:right w:val="nil"/>
            </w:tcBorders>
            <w:shd w:val="clear" w:color="000000" w:fill="FFFFFF"/>
            <w:noWrap/>
            <w:vAlign w:val="bottom"/>
            <w:hideMark/>
          </w:tcPr>
          <w:p w14:paraId="436410B9"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FF0000"/>
                <w:sz w:val="15"/>
                <w:szCs w:val="15"/>
                <w:lang w:val="en-US"/>
              </w:rPr>
            </w:pPr>
            <w:r w:rsidRPr="00563525">
              <w:rPr>
                <w:rFonts w:ascii="Calibri" w:hAnsi="Calibri" w:cs="Calibri"/>
                <w:color w:val="FF0000"/>
                <w:sz w:val="15"/>
                <w:szCs w:val="15"/>
                <w:lang w:val="en-US"/>
              </w:rPr>
              <w:t xml:space="preserve">　</w:t>
            </w:r>
          </w:p>
        </w:tc>
        <w:tc>
          <w:tcPr>
            <w:tcW w:w="213" w:type="pct"/>
            <w:tcBorders>
              <w:top w:val="single" w:sz="4" w:space="0" w:color="auto"/>
              <w:left w:val="nil"/>
              <w:bottom w:val="single" w:sz="4" w:space="0" w:color="auto"/>
              <w:right w:val="nil"/>
            </w:tcBorders>
            <w:shd w:val="clear" w:color="000000" w:fill="FFFFFF"/>
            <w:noWrap/>
            <w:vAlign w:val="bottom"/>
            <w:hideMark/>
          </w:tcPr>
          <w:p w14:paraId="70E25ABA"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sz w:val="15"/>
                <w:szCs w:val="15"/>
                <w:lang w:val="en-US"/>
              </w:rPr>
            </w:pPr>
            <w:r w:rsidRPr="00563525">
              <w:rPr>
                <w:rFonts w:ascii="Calibri" w:hAnsi="Calibri" w:cs="Calibri"/>
                <w:b/>
                <w:bCs/>
                <w:sz w:val="15"/>
                <w:szCs w:val="15"/>
                <w:lang w:val="en-US"/>
              </w:rPr>
              <w:t xml:space="preserve">　</w:t>
            </w:r>
          </w:p>
        </w:tc>
        <w:tc>
          <w:tcPr>
            <w:tcW w:w="340" w:type="pct"/>
            <w:tcBorders>
              <w:top w:val="single" w:sz="4" w:space="0" w:color="auto"/>
              <w:left w:val="nil"/>
              <w:bottom w:val="single" w:sz="4" w:space="0" w:color="auto"/>
              <w:right w:val="nil"/>
            </w:tcBorders>
            <w:shd w:val="clear" w:color="000000" w:fill="FFFFFF"/>
            <w:noWrap/>
            <w:vAlign w:val="bottom"/>
            <w:hideMark/>
          </w:tcPr>
          <w:p w14:paraId="36BF8363"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c>
          <w:tcPr>
            <w:tcW w:w="217" w:type="pct"/>
            <w:tcBorders>
              <w:top w:val="single" w:sz="4" w:space="0" w:color="auto"/>
              <w:left w:val="nil"/>
              <w:bottom w:val="single" w:sz="4" w:space="0" w:color="auto"/>
              <w:right w:val="nil"/>
            </w:tcBorders>
            <w:shd w:val="clear" w:color="000000" w:fill="FFFFFF"/>
            <w:noWrap/>
            <w:vAlign w:val="bottom"/>
            <w:hideMark/>
          </w:tcPr>
          <w:p w14:paraId="6C204381"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c>
          <w:tcPr>
            <w:tcW w:w="346" w:type="pct"/>
            <w:tcBorders>
              <w:top w:val="single" w:sz="4" w:space="0" w:color="auto"/>
              <w:left w:val="nil"/>
              <w:bottom w:val="single" w:sz="4" w:space="0" w:color="auto"/>
              <w:right w:val="nil"/>
            </w:tcBorders>
            <w:shd w:val="clear" w:color="000000" w:fill="FFFFFF"/>
            <w:noWrap/>
            <w:vAlign w:val="bottom"/>
            <w:hideMark/>
          </w:tcPr>
          <w:p w14:paraId="2CCAA433"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c>
          <w:tcPr>
            <w:tcW w:w="217" w:type="pct"/>
            <w:tcBorders>
              <w:top w:val="single" w:sz="4" w:space="0" w:color="auto"/>
              <w:left w:val="nil"/>
              <w:bottom w:val="single" w:sz="4" w:space="0" w:color="auto"/>
              <w:right w:val="nil"/>
            </w:tcBorders>
            <w:shd w:val="clear" w:color="000000" w:fill="FFFFFF"/>
            <w:noWrap/>
            <w:vAlign w:val="bottom"/>
            <w:hideMark/>
          </w:tcPr>
          <w:p w14:paraId="750A079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sz w:val="15"/>
                <w:szCs w:val="15"/>
                <w:lang w:val="en-US"/>
              </w:rPr>
            </w:pPr>
            <w:r w:rsidRPr="00563525">
              <w:rPr>
                <w:rFonts w:ascii="Calibri" w:hAnsi="Calibri" w:cs="Calibri"/>
                <w:b/>
                <w:bCs/>
                <w:sz w:val="15"/>
                <w:szCs w:val="15"/>
                <w:lang w:val="en-US"/>
              </w:rPr>
              <w:t xml:space="preserve">　</w:t>
            </w:r>
          </w:p>
        </w:tc>
        <w:tc>
          <w:tcPr>
            <w:tcW w:w="346" w:type="pct"/>
            <w:tcBorders>
              <w:top w:val="single" w:sz="4" w:space="0" w:color="auto"/>
              <w:left w:val="nil"/>
              <w:bottom w:val="single" w:sz="4" w:space="0" w:color="auto"/>
              <w:right w:val="single" w:sz="8" w:space="0" w:color="auto"/>
            </w:tcBorders>
            <w:shd w:val="clear" w:color="000000" w:fill="FFFFFF"/>
            <w:noWrap/>
            <w:vAlign w:val="bottom"/>
            <w:hideMark/>
          </w:tcPr>
          <w:p w14:paraId="1CD18472"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r>
      <w:tr w:rsidR="00563525" w:rsidRPr="00563525" w14:paraId="757926D5"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E4BA9F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lastRenderedPageBreak/>
              <w:t>30</w:t>
            </w:r>
          </w:p>
        </w:tc>
        <w:tc>
          <w:tcPr>
            <w:tcW w:w="213" w:type="pct"/>
            <w:tcBorders>
              <w:top w:val="nil"/>
              <w:left w:val="nil"/>
              <w:bottom w:val="single" w:sz="4" w:space="0" w:color="auto"/>
              <w:right w:val="single" w:sz="4" w:space="0" w:color="auto"/>
            </w:tcBorders>
            <w:shd w:val="clear" w:color="000000" w:fill="FFFFFF"/>
            <w:noWrap/>
            <w:vAlign w:val="bottom"/>
            <w:hideMark/>
          </w:tcPr>
          <w:p w14:paraId="27C4CE1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106 </w:t>
            </w:r>
          </w:p>
        </w:tc>
        <w:tc>
          <w:tcPr>
            <w:tcW w:w="340" w:type="pct"/>
            <w:tcBorders>
              <w:top w:val="nil"/>
              <w:left w:val="nil"/>
              <w:bottom w:val="single" w:sz="4" w:space="0" w:color="auto"/>
              <w:right w:val="single" w:sz="4" w:space="0" w:color="auto"/>
            </w:tcBorders>
            <w:shd w:val="clear" w:color="000000" w:fill="FFFFFF"/>
            <w:noWrap/>
            <w:vAlign w:val="bottom"/>
            <w:hideMark/>
          </w:tcPr>
          <w:p w14:paraId="4422FBE8"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95.4%</w:t>
            </w:r>
          </w:p>
        </w:tc>
        <w:tc>
          <w:tcPr>
            <w:tcW w:w="213" w:type="pct"/>
            <w:tcBorders>
              <w:top w:val="nil"/>
              <w:left w:val="nil"/>
              <w:bottom w:val="single" w:sz="4" w:space="0" w:color="auto"/>
              <w:right w:val="single" w:sz="4" w:space="0" w:color="auto"/>
            </w:tcBorders>
            <w:shd w:val="clear" w:color="000000" w:fill="FFFFFF"/>
            <w:noWrap/>
            <w:vAlign w:val="bottom"/>
            <w:hideMark/>
          </w:tcPr>
          <w:p w14:paraId="0D26CBE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119 </w:t>
            </w:r>
          </w:p>
        </w:tc>
        <w:tc>
          <w:tcPr>
            <w:tcW w:w="340" w:type="pct"/>
            <w:tcBorders>
              <w:top w:val="nil"/>
              <w:left w:val="nil"/>
              <w:bottom w:val="single" w:sz="4" w:space="0" w:color="auto"/>
              <w:right w:val="single" w:sz="4" w:space="0" w:color="auto"/>
            </w:tcBorders>
            <w:shd w:val="clear" w:color="000000" w:fill="FFFFFF"/>
            <w:noWrap/>
            <w:vAlign w:val="bottom"/>
            <w:hideMark/>
          </w:tcPr>
          <w:p w14:paraId="2469F20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95.2%</w:t>
            </w:r>
          </w:p>
        </w:tc>
        <w:tc>
          <w:tcPr>
            <w:tcW w:w="213" w:type="pct"/>
            <w:tcBorders>
              <w:top w:val="nil"/>
              <w:left w:val="nil"/>
              <w:bottom w:val="single" w:sz="4" w:space="0" w:color="auto"/>
              <w:right w:val="single" w:sz="4" w:space="0" w:color="auto"/>
            </w:tcBorders>
            <w:shd w:val="clear" w:color="000000" w:fill="FFFFFF"/>
            <w:noWrap/>
            <w:vAlign w:val="bottom"/>
            <w:hideMark/>
          </w:tcPr>
          <w:p w14:paraId="0F75DEF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133 </w:t>
            </w:r>
          </w:p>
        </w:tc>
        <w:tc>
          <w:tcPr>
            <w:tcW w:w="340" w:type="pct"/>
            <w:tcBorders>
              <w:top w:val="nil"/>
              <w:left w:val="nil"/>
              <w:bottom w:val="single" w:sz="4" w:space="0" w:color="auto"/>
              <w:right w:val="single" w:sz="4" w:space="0" w:color="auto"/>
            </w:tcBorders>
            <w:shd w:val="clear" w:color="000000" w:fill="FFFFFF"/>
            <w:noWrap/>
            <w:vAlign w:val="bottom"/>
            <w:hideMark/>
          </w:tcPr>
          <w:p w14:paraId="37F771F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96.5%</w:t>
            </w:r>
          </w:p>
        </w:tc>
        <w:tc>
          <w:tcPr>
            <w:tcW w:w="213" w:type="pct"/>
            <w:tcBorders>
              <w:top w:val="nil"/>
              <w:left w:val="nil"/>
              <w:bottom w:val="single" w:sz="4" w:space="0" w:color="auto"/>
              <w:right w:val="single" w:sz="4" w:space="0" w:color="auto"/>
            </w:tcBorders>
            <w:shd w:val="clear" w:color="000000" w:fill="FFFFFF"/>
            <w:noWrap/>
            <w:vAlign w:val="bottom"/>
            <w:hideMark/>
          </w:tcPr>
          <w:p w14:paraId="2ADBC81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162 </w:t>
            </w:r>
          </w:p>
        </w:tc>
        <w:tc>
          <w:tcPr>
            <w:tcW w:w="340" w:type="pct"/>
            <w:tcBorders>
              <w:top w:val="nil"/>
              <w:left w:val="nil"/>
              <w:bottom w:val="single" w:sz="4" w:space="0" w:color="auto"/>
              <w:right w:val="single" w:sz="4" w:space="0" w:color="auto"/>
            </w:tcBorders>
            <w:shd w:val="clear" w:color="000000" w:fill="FFFFFF"/>
            <w:noWrap/>
            <w:vAlign w:val="bottom"/>
            <w:hideMark/>
          </w:tcPr>
          <w:p w14:paraId="4C98703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c>
          <w:tcPr>
            <w:tcW w:w="213" w:type="pct"/>
            <w:tcBorders>
              <w:top w:val="nil"/>
              <w:left w:val="nil"/>
              <w:bottom w:val="single" w:sz="4" w:space="0" w:color="auto"/>
              <w:right w:val="single" w:sz="4" w:space="0" w:color="auto"/>
            </w:tcBorders>
            <w:shd w:val="clear" w:color="000000" w:fill="FFFFFF"/>
            <w:noWrap/>
            <w:vAlign w:val="bottom"/>
            <w:hideMark/>
          </w:tcPr>
          <w:p w14:paraId="0F153DCE"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189 </w:t>
            </w:r>
          </w:p>
        </w:tc>
        <w:tc>
          <w:tcPr>
            <w:tcW w:w="340" w:type="pct"/>
            <w:tcBorders>
              <w:top w:val="nil"/>
              <w:left w:val="nil"/>
              <w:bottom w:val="single" w:sz="4" w:space="0" w:color="auto"/>
              <w:right w:val="single" w:sz="4" w:space="0" w:color="auto"/>
            </w:tcBorders>
            <w:shd w:val="clear" w:color="000000" w:fill="FFFFFF"/>
            <w:noWrap/>
            <w:vAlign w:val="bottom"/>
            <w:hideMark/>
          </w:tcPr>
          <w:p w14:paraId="3CF0C32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c>
          <w:tcPr>
            <w:tcW w:w="213" w:type="pct"/>
            <w:tcBorders>
              <w:top w:val="nil"/>
              <w:left w:val="nil"/>
              <w:bottom w:val="single" w:sz="4" w:space="0" w:color="auto"/>
              <w:right w:val="single" w:sz="4" w:space="0" w:color="auto"/>
            </w:tcBorders>
            <w:shd w:val="clear" w:color="000000" w:fill="FFFFFF"/>
            <w:noWrap/>
            <w:vAlign w:val="bottom"/>
            <w:hideMark/>
          </w:tcPr>
          <w:p w14:paraId="7B7C902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217 </w:t>
            </w:r>
          </w:p>
        </w:tc>
        <w:tc>
          <w:tcPr>
            <w:tcW w:w="340" w:type="pct"/>
            <w:tcBorders>
              <w:top w:val="nil"/>
              <w:left w:val="nil"/>
              <w:bottom w:val="single" w:sz="4" w:space="0" w:color="auto"/>
              <w:right w:val="single" w:sz="4" w:space="0" w:color="auto"/>
            </w:tcBorders>
            <w:shd w:val="clear" w:color="000000" w:fill="FFFFFF"/>
            <w:noWrap/>
            <w:vAlign w:val="bottom"/>
            <w:hideMark/>
          </w:tcPr>
          <w:p w14:paraId="74B31D3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97.7%</w:t>
            </w:r>
          </w:p>
        </w:tc>
        <w:tc>
          <w:tcPr>
            <w:tcW w:w="217" w:type="pct"/>
            <w:tcBorders>
              <w:top w:val="nil"/>
              <w:left w:val="nil"/>
              <w:bottom w:val="single" w:sz="4" w:space="0" w:color="auto"/>
              <w:right w:val="single" w:sz="4" w:space="0" w:color="auto"/>
            </w:tcBorders>
            <w:shd w:val="clear" w:color="000000" w:fill="FFFFFF"/>
            <w:noWrap/>
            <w:vAlign w:val="bottom"/>
            <w:hideMark/>
          </w:tcPr>
          <w:p w14:paraId="1674499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245 </w:t>
            </w:r>
          </w:p>
        </w:tc>
        <w:tc>
          <w:tcPr>
            <w:tcW w:w="346" w:type="pct"/>
            <w:tcBorders>
              <w:top w:val="nil"/>
              <w:left w:val="nil"/>
              <w:bottom w:val="single" w:sz="4" w:space="0" w:color="auto"/>
              <w:right w:val="single" w:sz="4" w:space="0" w:color="auto"/>
            </w:tcBorders>
            <w:shd w:val="clear" w:color="000000" w:fill="FFFFFF"/>
            <w:noWrap/>
            <w:vAlign w:val="bottom"/>
            <w:hideMark/>
          </w:tcPr>
          <w:p w14:paraId="0638809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98.0%</w:t>
            </w:r>
          </w:p>
        </w:tc>
        <w:tc>
          <w:tcPr>
            <w:tcW w:w="217" w:type="pct"/>
            <w:tcBorders>
              <w:top w:val="nil"/>
              <w:left w:val="nil"/>
              <w:bottom w:val="single" w:sz="4" w:space="0" w:color="auto"/>
              <w:right w:val="single" w:sz="4" w:space="0" w:color="auto"/>
            </w:tcBorders>
            <w:shd w:val="clear" w:color="000000" w:fill="FFFFFF"/>
            <w:noWrap/>
            <w:vAlign w:val="bottom"/>
            <w:hideMark/>
          </w:tcPr>
          <w:p w14:paraId="40A942E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273 </w:t>
            </w:r>
          </w:p>
        </w:tc>
        <w:tc>
          <w:tcPr>
            <w:tcW w:w="346" w:type="pct"/>
            <w:tcBorders>
              <w:top w:val="nil"/>
              <w:left w:val="nil"/>
              <w:bottom w:val="single" w:sz="4" w:space="0" w:color="auto"/>
              <w:right w:val="single" w:sz="8" w:space="0" w:color="auto"/>
            </w:tcBorders>
            <w:shd w:val="clear" w:color="000000" w:fill="FFFFFF"/>
            <w:noWrap/>
            <w:vAlign w:val="bottom"/>
            <w:hideMark/>
          </w:tcPr>
          <w:p w14:paraId="38782D9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98.3%</w:t>
            </w:r>
          </w:p>
        </w:tc>
      </w:tr>
      <w:tr w:rsidR="00563525" w:rsidRPr="00563525" w14:paraId="0D32D110" w14:textId="77777777" w:rsidTr="00FF2017">
        <w:trPr>
          <w:trHeight w:val="44"/>
          <w:jc w:val="center"/>
        </w:trPr>
        <w:tc>
          <w:tcPr>
            <w:tcW w:w="553" w:type="pct"/>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43D3AFB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60</w:t>
            </w:r>
          </w:p>
        </w:tc>
        <w:tc>
          <w:tcPr>
            <w:tcW w:w="213" w:type="pct"/>
            <w:tcBorders>
              <w:top w:val="nil"/>
              <w:left w:val="nil"/>
              <w:bottom w:val="single" w:sz="8" w:space="0" w:color="auto"/>
              <w:right w:val="single" w:sz="4" w:space="0" w:color="auto"/>
            </w:tcBorders>
            <w:shd w:val="clear" w:color="000000" w:fill="FFFFFF"/>
            <w:noWrap/>
            <w:vAlign w:val="bottom"/>
            <w:hideMark/>
          </w:tcPr>
          <w:p w14:paraId="2B07EBF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51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69F38A2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91.8%</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3F0852A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58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3D5707D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92.8%</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4ED487AA"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65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4A656650"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94.0%</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2F12F7E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79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05BE62BF"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94.8%</w:t>
            </w:r>
          </w:p>
        </w:tc>
        <w:tc>
          <w:tcPr>
            <w:tcW w:w="213" w:type="pct"/>
            <w:tcBorders>
              <w:top w:val="nil"/>
              <w:left w:val="nil"/>
              <w:bottom w:val="single" w:sz="8" w:space="0" w:color="auto"/>
              <w:right w:val="single" w:sz="4" w:space="0" w:color="auto"/>
            </w:tcBorders>
            <w:shd w:val="clear" w:color="000000" w:fill="FFFFFF"/>
            <w:noWrap/>
            <w:vAlign w:val="bottom"/>
            <w:hideMark/>
          </w:tcPr>
          <w:p w14:paraId="73DEE17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93 </w:t>
            </w:r>
          </w:p>
        </w:tc>
        <w:tc>
          <w:tcPr>
            <w:tcW w:w="340" w:type="pct"/>
            <w:tcBorders>
              <w:top w:val="nil"/>
              <w:left w:val="nil"/>
              <w:bottom w:val="single" w:sz="8" w:space="0" w:color="auto"/>
              <w:right w:val="single" w:sz="4" w:space="0" w:color="auto"/>
            </w:tcBorders>
            <w:shd w:val="clear" w:color="000000" w:fill="FFFFFF"/>
            <w:noWrap/>
            <w:vAlign w:val="bottom"/>
            <w:hideMark/>
          </w:tcPr>
          <w:p w14:paraId="487CBF9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95.7%</w:t>
            </w:r>
          </w:p>
        </w:tc>
        <w:tc>
          <w:tcPr>
            <w:tcW w:w="213" w:type="pct"/>
            <w:tcBorders>
              <w:top w:val="nil"/>
              <w:left w:val="nil"/>
              <w:bottom w:val="single" w:sz="8" w:space="0" w:color="auto"/>
              <w:right w:val="single" w:sz="4" w:space="0" w:color="auto"/>
            </w:tcBorders>
            <w:shd w:val="clear" w:color="000000" w:fill="FFFFFF"/>
            <w:noWrap/>
            <w:vAlign w:val="bottom"/>
            <w:hideMark/>
          </w:tcPr>
          <w:p w14:paraId="74CFD02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107 </w:t>
            </w:r>
          </w:p>
        </w:tc>
        <w:tc>
          <w:tcPr>
            <w:tcW w:w="340" w:type="pct"/>
            <w:tcBorders>
              <w:top w:val="nil"/>
              <w:left w:val="nil"/>
              <w:bottom w:val="single" w:sz="8" w:space="0" w:color="auto"/>
              <w:right w:val="single" w:sz="4" w:space="0" w:color="auto"/>
            </w:tcBorders>
            <w:shd w:val="clear" w:color="000000" w:fill="FFFFFF"/>
            <w:noWrap/>
            <w:vAlign w:val="bottom"/>
            <w:hideMark/>
          </w:tcPr>
          <w:p w14:paraId="6371A4D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96.3%</w:t>
            </w:r>
          </w:p>
        </w:tc>
        <w:tc>
          <w:tcPr>
            <w:tcW w:w="217" w:type="pct"/>
            <w:tcBorders>
              <w:top w:val="nil"/>
              <w:left w:val="nil"/>
              <w:bottom w:val="single" w:sz="8" w:space="0" w:color="auto"/>
              <w:right w:val="single" w:sz="4" w:space="0" w:color="auto"/>
            </w:tcBorders>
            <w:shd w:val="clear" w:color="000000" w:fill="FFFFFF"/>
            <w:noWrap/>
            <w:vAlign w:val="bottom"/>
            <w:hideMark/>
          </w:tcPr>
          <w:p w14:paraId="19CD8DF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121 </w:t>
            </w:r>
          </w:p>
        </w:tc>
        <w:tc>
          <w:tcPr>
            <w:tcW w:w="346" w:type="pct"/>
            <w:tcBorders>
              <w:top w:val="nil"/>
              <w:left w:val="nil"/>
              <w:bottom w:val="single" w:sz="8" w:space="0" w:color="auto"/>
              <w:right w:val="single" w:sz="4" w:space="0" w:color="auto"/>
            </w:tcBorders>
            <w:shd w:val="clear" w:color="000000" w:fill="FFFFFF"/>
            <w:noWrap/>
            <w:vAlign w:val="bottom"/>
            <w:hideMark/>
          </w:tcPr>
          <w:p w14:paraId="7DCC2FF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96.8%</w:t>
            </w:r>
          </w:p>
        </w:tc>
        <w:tc>
          <w:tcPr>
            <w:tcW w:w="217" w:type="pct"/>
            <w:tcBorders>
              <w:top w:val="nil"/>
              <w:left w:val="nil"/>
              <w:bottom w:val="single" w:sz="8" w:space="0" w:color="auto"/>
              <w:right w:val="single" w:sz="4" w:space="0" w:color="auto"/>
            </w:tcBorders>
            <w:shd w:val="clear" w:color="000000" w:fill="FFFFFF"/>
            <w:noWrap/>
            <w:vAlign w:val="bottom"/>
            <w:hideMark/>
          </w:tcPr>
          <w:p w14:paraId="1D5924D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135 </w:t>
            </w:r>
          </w:p>
        </w:tc>
        <w:tc>
          <w:tcPr>
            <w:tcW w:w="346" w:type="pct"/>
            <w:tcBorders>
              <w:top w:val="nil"/>
              <w:left w:val="nil"/>
              <w:bottom w:val="single" w:sz="8" w:space="0" w:color="auto"/>
              <w:right w:val="single" w:sz="8" w:space="0" w:color="auto"/>
            </w:tcBorders>
            <w:shd w:val="clear" w:color="000000" w:fill="FFFFFF"/>
            <w:noWrap/>
            <w:vAlign w:val="bottom"/>
            <w:hideMark/>
          </w:tcPr>
          <w:p w14:paraId="7FE8488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r>
    </w:tbl>
    <w:p w14:paraId="31FEACB9" w14:textId="0ECD6162" w:rsidR="00302EFF" w:rsidRDefault="00302EFF" w:rsidP="002752CB">
      <w:pPr>
        <w:snapToGrid w:val="0"/>
        <w:spacing w:beforeLines="50" w:before="120" w:after="120" w:line="276" w:lineRule="auto"/>
        <w:jc w:val="both"/>
        <w:rPr>
          <w:lang w:val="en-US"/>
        </w:rPr>
      </w:pPr>
      <w:r w:rsidRPr="00302EFF">
        <w:rPr>
          <w:lang w:val="en-US"/>
        </w:rPr>
        <w:t xml:space="preserve">As shown in the SU table above, spectrum utilization for smaller channel bandwidths remains relatively low compared to larger bandwidths. This is primarily due to implementation constraints, particularly in channel filter design, where </w:t>
      </w:r>
      <w:r>
        <w:rPr>
          <w:lang w:val="en-US"/>
        </w:rPr>
        <w:t xml:space="preserve">appropriate </w:t>
      </w:r>
      <w:r w:rsidRPr="00302EFF">
        <w:rPr>
          <w:lang w:val="en-US"/>
        </w:rPr>
        <w:t xml:space="preserve">guard bands </w:t>
      </w:r>
      <w:r>
        <w:rPr>
          <w:lang w:val="en-US"/>
        </w:rPr>
        <w:t>should be considered</w:t>
      </w:r>
      <w:r w:rsidRPr="00302EFF">
        <w:rPr>
          <w:lang w:val="en-US"/>
        </w:rPr>
        <w:t xml:space="preserve"> to meet spectrum </w:t>
      </w:r>
      <w:r>
        <w:rPr>
          <w:lang w:val="en-US"/>
        </w:rPr>
        <w:t>related requirements</w:t>
      </w:r>
      <w:r w:rsidRPr="00302EFF">
        <w:rPr>
          <w:lang w:val="en-US"/>
        </w:rPr>
        <w:t>. Improving SU in 6GR</w:t>
      </w:r>
      <w:r>
        <w:rPr>
          <w:lang w:val="en-US"/>
        </w:rPr>
        <w:t xml:space="preserve">, </w:t>
      </w:r>
      <w:r w:rsidRPr="00302EFF">
        <w:rPr>
          <w:lang w:val="en-US"/>
        </w:rPr>
        <w:t>especially for smaller channel bandwidths</w:t>
      </w:r>
      <w:r>
        <w:rPr>
          <w:lang w:val="en-US"/>
        </w:rPr>
        <w:t xml:space="preserve">, </w:t>
      </w:r>
      <w:r w:rsidRPr="00302EFF">
        <w:rPr>
          <w:lang w:val="en-US"/>
        </w:rPr>
        <w:t>is critically important, given that low-frequency bands with narrower bandwidths can offer enhanced coverage, which is essential for 6GR deployment.</w:t>
      </w:r>
    </w:p>
    <w:p w14:paraId="4F7874ED" w14:textId="5E2F73FC" w:rsidR="00EF746A" w:rsidRPr="00EF746A" w:rsidRDefault="00EF746A" w:rsidP="00EF746A">
      <w:pPr>
        <w:snapToGrid w:val="0"/>
        <w:spacing w:after="120" w:line="276" w:lineRule="auto"/>
        <w:jc w:val="both"/>
        <w:rPr>
          <w:lang w:val="en-US"/>
        </w:rPr>
      </w:pPr>
      <w:r w:rsidRPr="00EF746A">
        <w:rPr>
          <w:lang w:val="en-US"/>
        </w:rPr>
        <w:t xml:space="preserve">In accordance with the </w:t>
      </w:r>
      <w:r>
        <w:rPr>
          <w:lang w:val="en-US"/>
        </w:rPr>
        <w:t>WF</w:t>
      </w:r>
      <w:r w:rsidRPr="00EF746A">
        <w:rPr>
          <w:lang w:val="en-US"/>
        </w:rPr>
        <w:t xml:space="preserve"> from the last meeting, which states that "</w:t>
      </w:r>
      <w:r w:rsidRPr="00EF746A">
        <w:rPr>
          <w:rFonts w:hint="eastAsia"/>
          <w:szCs w:val="24"/>
        </w:rPr>
        <w:t xml:space="preserve"> </w:t>
      </w:r>
      <w:r>
        <w:rPr>
          <w:szCs w:val="24"/>
        </w:rPr>
        <w:t>c</w:t>
      </w:r>
      <w:r w:rsidRPr="00E350A5">
        <w:rPr>
          <w:szCs w:val="24"/>
        </w:rPr>
        <w:t>hannel bandwidth and SCS with smaller SU should be prioritized</w:t>
      </w:r>
      <w:r w:rsidRPr="00EF746A">
        <w:rPr>
          <w:lang w:val="en-US"/>
        </w:rPr>
        <w:t xml:space="preserve">," we believe it is more appropriate to begin evaluations in FR1. Given the intertwined nature of RF impairment studies with UE RF, a practical approach for early SU investigation is to </w:t>
      </w:r>
      <w:bookmarkStart w:id="7" w:name="_Hlk212403761"/>
      <w:r w:rsidRPr="00EF746A">
        <w:rPr>
          <w:lang w:val="en-US"/>
        </w:rPr>
        <w:t>leverage existing 5G requirements and assumptions, while incorporating advanced spectrum confinement techniques</w:t>
      </w:r>
      <w:bookmarkEnd w:id="7"/>
      <w:r w:rsidRPr="00EF746A">
        <w:rPr>
          <w:lang w:val="en-US"/>
        </w:rPr>
        <w:t xml:space="preserve">. </w:t>
      </w:r>
      <w:bookmarkStart w:id="8" w:name="_Hlk212403685"/>
      <w:r w:rsidRPr="00EF746A">
        <w:rPr>
          <w:lang w:val="en-US"/>
        </w:rPr>
        <w:t>The evaluation assumptions discussed in Section 2.1.2 for waveform analysis may also serve as a basis for initial SU evaluations.</w:t>
      </w:r>
      <w:bookmarkEnd w:id="8"/>
    </w:p>
    <w:p w14:paraId="07CDA436" w14:textId="5B2A88D4" w:rsidR="00EF746A" w:rsidRPr="00302EFF" w:rsidRDefault="00EF746A" w:rsidP="00EF746A">
      <w:pPr>
        <w:snapToGrid w:val="0"/>
        <w:spacing w:after="120" w:line="276" w:lineRule="auto"/>
        <w:jc w:val="both"/>
        <w:rPr>
          <w:lang w:val="en-US"/>
        </w:rPr>
      </w:pPr>
      <w:r w:rsidRPr="00EF746A">
        <w:rPr>
          <w:lang w:val="en-US"/>
        </w:rPr>
        <w:t>Regarding spectrum confinement techniques, as in 5G, no specific implementation is restricted. Both frequency-domain and time-domain methods are permissible, provided that companies clearly declare the techniques used in their evaluations.</w:t>
      </w:r>
    </w:p>
    <w:p w14:paraId="42222C87" w14:textId="3ECB63D4" w:rsidR="00A943A1" w:rsidRDefault="00302EFF" w:rsidP="00302EFF">
      <w:pPr>
        <w:jc w:val="both"/>
        <w:rPr>
          <w:b/>
          <w:bCs/>
          <w:i/>
          <w:iCs/>
          <w:lang w:val="en-US"/>
        </w:rPr>
      </w:pPr>
      <w:r w:rsidRPr="00302EFF">
        <w:rPr>
          <w:b/>
          <w:bCs/>
          <w:i/>
          <w:iCs/>
          <w:lang w:val="en-US"/>
        </w:rPr>
        <w:t>Proposal</w:t>
      </w:r>
      <w:r w:rsidR="00680EED">
        <w:rPr>
          <w:b/>
          <w:bCs/>
          <w:i/>
          <w:iCs/>
          <w:lang w:val="en-US"/>
        </w:rPr>
        <w:t xml:space="preserve"> </w:t>
      </w:r>
      <w:r w:rsidR="00FE5C32">
        <w:rPr>
          <w:b/>
          <w:bCs/>
          <w:i/>
          <w:iCs/>
          <w:lang w:val="en-US"/>
        </w:rPr>
        <w:t>4-1</w:t>
      </w:r>
      <w:r w:rsidRPr="00302EFF">
        <w:rPr>
          <w:b/>
          <w:bCs/>
          <w:i/>
          <w:iCs/>
          <w:lang w:val="en-US"/>
        </w:rPr>
        <w:t xml:space="preserve">: </w:t>
      </w:r>
      <w:r w:rsidR="00EF746A" w:rsidRPr="00EF746A">
        <w:rPr>
          <w:b/>
          <w:bCs/>
          <w:i/>
          <w:iCs/>
          <w:lang w:val="en-US"/>
        </w:rPr>
        <w:t xml:space="preserve">The evaluation assumptions for waveform analysis </w:t>
      </w:r>
      <w:r w:rsidR="00792328">
        <w:rPr>
          <w:b/>
          <w:bCs/>
          <w:i/>
          <w:iCs/>
          <w:lang w:val="en-US"/>
        </w:rPr>
        <w:t>could</w:t>
      </w:r>
      <w:r w:rsidR="00EF746A" w:rsidRPr="00EF746A">
        <w:rPr>
          <w:b/>
          <w:bCs/>
          <w:i/>
          <w:iCs/>
          <w:lang w:val="en-US"/>
        </w:rPr>
        <w:t xml:space="preserve"> also serve as a basis for initial SU evaluations</w:t>
      </w:r>
      <w:r w:rsidR="00792328">
        <w:rPr>
          <w:b/>
          <w:bCs/>
          <w:i/>
          <w:iCs/>
          <w:lang w:val="en-US"/>
        </w:rPr>
        <w:t xml:space="preserve">, </w:t>
      </w:r>
      <w:r w:rsidR="00792328" w:rsidRPr="00792328">
        <w:rPr>
          <w:b/>
          <w:bCs/>
          <w:i/>
          <w:iCs/>
          <w:lang w:val="en-US"/>
        </w:rPr>
        <w:t>leverag</w:t>
      </w:r>
      <w:r w:rsidR="00792328">
        <w:rPr>
          <w:b/>
          <w:bCs/>
          <w:i/>
          <w:iCs/>
          <w:lang w:val="en-US"/>
        </w:rPr>
        <w:t>ing</w:t>
      </w:r>
      <w:r w:rsidR="00792328" w:rsidRPr="00792328">
        <w:rPr>
          <w:b/>
          <w:bCs/>
          <w:i/>
          <w:iCs/>
          <w:lang w:val="en-US"/>
        </w:rPr>
        <w:t xml:space="preserve"> existing 5G requirements and assumptions, while incorporating advanced spectrum confinement techniques</w:t>
      </w:r>
      <w:r w:rsidR="00EF746A" w:rsidRPr="00EF746A">
        <w:rPr>
          <w:b/>
          <w:bCs/>
          <w:i/>
          <w:iCs/>
          <w:lang w:val="en-US"/>
        </w:rPr>
        <w:t>.</w:t>
      </w:r>
    </w:p>
    <w:p w14:paraId="54C426EE" w14:textId="12358DF5" w:rsidR="00792328" w:rsidRDefault="00792328" w:rsidP="00302EFF">
      <w:pPr>
        <w:jc w:val="both"/>
        <w:rPr>
          <w:b/>
          <w:bCs/>
          <w:i/>
          <w:iCs/>
          <w:lang w:val="en-US"/>
        </w:rPr>
      </w:pPr>
      <w:r>
        <w:rPr>
          <w:rFonts w:hint="eastAsia"/>
          <w:b/>
          <w:bCs/>
          <w:i/>
          <w:iCs/>
          <w:lang w:val="en-US"/>
        </w:rPr>
        <w:t>P</w:t>
      </w:r>
      <w:r>
        <w:rPr>
          <w:b/>
          <w:bCs/>
          <w:i/>
          <w:iCs/>
          <w:lang w:val="en-US"/>
        </w:rPr>
        <w:t>roposal</w:t>
      </w:r>
      <w:r w:rsidR="00680EED">
        <w:rPr>
          <w:b/>
          <w:bCs/>
          <w:i/>
          <w:iCs/>
          <w:lang w:val="en-US"/>
        </w:rPr>
        <w:t xml:space="preserve"> </w:t>
      </w:r>
      <w:r w:rsidR="00FE5C32">
        <w:rPr>
          <w:b/>
          <w:bCs/>
          <w:i/>
          <w:iCs/>
          <w:lang w:val="en-US"/>
        </w:rPr>
        <w:t>4-2</w:t>
      </w:r>
      <w:r>
        <w:rPr>
          <w:b/>
          <w:bCs/>
          <w:i/>
          <w:iCs/>
          <w:lang w:val="en-US"/>
        </w:rPr>
        <w:t xml:space="preserve">: No limitation on the adopted spectrum confinement techniques, </w:t>
      </w:r>
      <w:r w:rsidRPr="00792328">
        <w:rPr>
          <w:b/>
          <w:bCs/>
          <w:i/>
          <w:iCs/>
          <w:lang w:val="en-US"/>
        </w:rPr>
        <w:t>provided that companies clearly declare the techniques used in their evaluations</w:t>
      </w:r>
      <w:r>
        <w:rPr>
          <w:b/>
          <w:bCs/>
          <w:i/>
          <w:iCs/>
          <w:lang w:val="en-US"/>
        </w:rPr>
        <w:t>.</w:t>
      </w:r>
    </w:p>
    <w:p w14:paraId="0CB330F2" w14:textId="2ABC6FF4" w:rsidR="009D45A5" w:rsidRDefault="009D45A5" w:rsidP="009D45A5">
      <w:pPr>
        <w:pStyle w:val="3"/>
      </w:pPr>
      <w:r>
        <w:t>Flexible channel bandwidth</w:t>
      </w:r>
    </w:p>
    <w:p w14:paraId="24DF47E6" w14:textId="77777777" w:rsidR="009D45A5" w:rsidRDefault="009D45A5" w:rsidP="009D45A5">
      <w:pPr>
        <w:snapToGrid w:val="0"/>
        <w:spacing w:after="120" w:line="276" w:lineRule="auto"/>
        <w:jc w:val="both"/>
        <w:rPr>
          <w:lang w:val="en-US"/>
        </w:rPr>
      </w:pPr>
      <w:r>
        <w:rPr>
          <w:lang w:val="en-US"/>
        </w:rPr>
        <w:t>RAN4 agreement on irregular channel bandwidth is excerpted as below.</w:t>
      </w:r>
    </w:p>
    <w:tbl>
      <w:tblPr>
        <w:tblStyle w:val="aff"/>
        <w:tblW w:w="0" w:type="auto"/>
        <w:tblLook w:val="04A0" w:firstRow="1" w:lastRow="0" w:firstColumn="1" w:lastColumn="0" w:noHBand="0" w:noVBand="1"/>
      </w:tblPr>
      <w:tblGrid>
        <w:gridCol w:w="9631"/>
      </w:tblGrid>
      <w:tr w:rsidR="009D45A5" w14:paraId="0A5008D1" w14:textId="77777777" w:rsidTr="009D45A5">
        <w:tc>
          <w:tcPr>
            <w:tcW w:w="0" w:type="auto"/>
            <w:tcBorders>
              <w:top w:val="single" w:sz="4" w:space="0" w:color="auto"/>
              <w:left w:val="single" w:sz="4" w:space="0" w:color="auto"/>
              <w:bottom w:val="single" w:sz="4" w:space="0" w:color="auto"/>
              <w:right w:val="single" w:sz="4" w:space="0" w:color="auto"/>
            </w:tcBorders>
            <w:shd w:val="clear" w:color="auto" w:fill="auto"/>
          </w:tcPr>
          <w:p w14:paraId="24D5FC2D" w14:textId="77777777" w:rsidR="009D45A5" w:rsidRDefault="009D45A5" w:rsidP="003326E0">
            <w:pPr>
              <w:overflowPunct/>
              <w:autoSpaceDE/>
              <w:adjustRightInd/>
              <w:snapToGrid w:val="0"/>
              <w:spacing w:after="0"/>
              <w:ind w:leftChars="39" w:left="78"/>
              <w:rPr>
                <w:szCs w:val="24"/>
                <w:highlight w:val="green"/>
                <w:lang w:val="en-US"/>
              </w:rPr>
            </w:pPr>
            <w:r>
              <w:rPr>
                <w:szCs w:val="24"/>
                <w:highlight w:val="green"/>
                <w:lang w:val="en-US" w:bidi="ar"/>
              </w:rPr>
              <w:t>Agreement</w:t>
            </w:r>
          </w:p>
          <w:p w14:paraId="403817F9" w14:textId="77777777" w:rsidR="009D45A5" w:rsidRDefault="009D45A5" w:rsidP="003326E0">
            <w:pPr>
              <w:widowControl w:val="0"/>
              <w:numPr>
                <w:ilvl w:val="0"/>
                <w:numId w:val="25"/>
              </w:numPr>
              <w:overflowPunct/>
              <w:autoSpaceDE/>
              <w:adjustRightInd/>
              <w:snapToGrid w:val="0"/>
              <w:spacing w:after="0"/>
              <w:ind w:leftChars="29" w:left="418"/>
              <w:jc w:val="both"/>
              <w:textAlignment w:val="auto"/>
              <w:rPr>
                <w:szCs w:val="24"/>
                <w:lang w:val="en-US"/>
              </w:rPr>
            </w:pPr>
            <w:r>
              <w:rPr>
                <w:szCs w:val="24"/>
                <w:lang w:val="en-US" w:bidi="ar"/>
              </w:rPr>
              <w:t>5G concepts from TR 38.844 can be considered as starting point to study a more generic solution for 6G</w:t>
            </w:r>
          </w:p>
          <w:p w14:paraId="42FC8C31" w14:textId="77777777" w:rsidR="009D45A5" w:rsidRDefault="009D45A5" w:rsidP="003326E0">
            <w:pPr>
              <w:widowControl w:val="0"/>
              <w:numPr>
                <w:ilvl w:val="1"/>
                <w:numId w:val="25"/>
              </w:numPr>
              <w:overflowPunct/>
              <w:autoSpaceDE/>
              <w:adjustRightInd/>
              <w:snapToGrid w:val="0"/>
              <w:spacing w:after="0"/>
              <w:jc w:val="both"/>
              <w:textAlignment w:val="auto"/>
              <w:rPr>
                <w:szCs w:val="24"/>
                <w:lang w:val="en-US"/>
              </w:rPr>
            </w:pPr>
            <w:r>
              <w:rPr>
                <w:szCs w:val="24"/>
                <w:lang w:val="en-US" w:bidi="ar"/>
              </w:rPr>
              <w:t>The listed main proposals and identified issues should be taken into account for the following study of irregular/flexible/scalable channel bandwidths</w:t>
            </w:r>
          </w:p>
          <w:p w14:paraId="6D845F7C" w14:textId="49F061B6" w:rsidR="009D45A5" w:rsidRPr="009D45A5" w:rsidRDefault="009D45A5" w:rsidP="003326E0">
            <w:pPr>
              <w:widowControl w:val="0"/>
              <w:numPr>
                <w:ilvl w:val="1"/>
                <w:numId w:val="25"/>
              </w:numPr>
              <w:overflowPunct/>
              <w:autoSpaceDE/>
              <w:adjustRightInd/>
              <w:snapToGrid w:val="0"/>
              <w:spacing w:after="0"/>
              <w:jc w:val="both"/>
              <w:textAlignment w:val="auto"/>
              <w:rPr>
                <w:szCs w:val="24"/>
              </w:rPr>
            </w:pPr>
            <w:r>
              <w:rPr>
                <w:szCs w:val="24"/>
                <w:lang w:val="en-US" w:bidi="ar"/>
              </w:rPr>
              <w:t>Other options not presented in this meeting are not precluded</w:t>
            </w:r>
          </w:p>
        </w:tc>
      </w:tr>
    </w:tbl>
    <w:p w14:paraId="3B6EFBA3" w14:textId="77777777" w:rsidR="009D45A5" w:rsidRDefault="009D45A5" w:rsidP="009D45A5">
      <w:pPr>
        <w:snapToGrid w:val="0"/>
        <w:spacing w:after="120" w:line="276" w:lineRule="auto"/>
        <w:ind w:left="420"/>
        <w:jc w:val="both"/>
        <w:rPr>
          <w:lang w:val="en-US"/>
        </w:rPr>
      </w:pPr>
    </w:p>
    <w:p w14:paraId="2BB88185" w14:textId="77777777" w:rsidR="009D45A5" w:rsidRPr="009D45A5" w:rsidRDefault="009D45A5" w:rsidP="009D45A5">
      <w:pPr>
        <w:snapToGrid w:val="0"/>
        <w:spacing w:after="120" w:line="276" w:lineRule="auto"/>
        <w:jc w:val="both"/>
        <w:rPr>
          <w:lang w:val="en-US"/>
        </w:rPr>
      </w:pPr>
      <w:r w:rsidRPr="009D45A5">
        <w:rPr>
          <w:lang w:val="en-US"/>
        </w:rPr>
        <w:t>In existing LTE/NR specification, a fixed set of regular channel bandwidths are defined, e.g. to fulfil the operator’s request.</w:t>
      </w:r>
    </w:p>
    <w:p w14:paraId="604D94F8" w14:textId="77777777" w:rsidR="009D45A5" w:rsidRDefault="009D45A5" w:rsidP="009D45A5">
      <w:pPr>
        <w:snapToGrid w:val="0"/>
        <w:spacing w:after="120" w:line="276" w:lineRule="auto"/>
        <w:jc w:val="both"/>
        <w:rPr>
          <w:lang w:val="en-US"/>
        </w:rPr>
      </w:pPr>
      <w:r>
        <w:rPr>
          <w:lang w:val="en-US"/>
        </w:rPr>
        <w:t>FR1: {3 MHz, 5 MHz, 6 MHz, 7 MHz, 10 MHz, 15 MHz, 20 MHz, 25 MHz, 30 MHz, 35 MHz, 40 MHz, 45 MHz, 50 MHz, 60 MHz, 70 MHz, 80 MHz, 90 MHz, 100 MHz}</w:t>
      </w:r>
    </w:p>
    <w:p w14:paraId="1B58DD24" w14:textId="77777777" w:rsidR="009D45A5" w:rsidRDefault="009D45A5" w:rsidP="009D45A5">
      <w:pPr>
        <w:snapToGrid w:val="0"/>
        <w:spacing w:after="0" w:line="276" w:lineRule="auto"/>
        <w:jc w:val="both"/>
        <w:rPr>
          <w:lang w:val="en-US"/>
        </w:rPr>
      </w:pPr>
      <w:r>
        <w:rPr>
          <w:lang w:val="en-US"/>
        </w:rPr>
        <w:t xml:space="preserve">The number of channel bandwidths is already 18 for NR FR1. And it is expected that 6G would introduce wider channel bandwidth larger than 100 </w:t>
      </w:r>
      <w:proofErr w:type="spellStart"/>
      <w:r>
        <w:rPr>
          <w:lang w:val="en-US"/>
        </w:rPr>
        <w:t>MHz.</w:t>
      </w:r>
      <w:proofErr w:type="spellEnd"/>
      <w:r>
        <w:rPr>
          <w:lang w:val="en-US"/>
        </w:rPr>
        <w:t xml:space="preserve"> The granularity for regular channel bandwidth for larger than 100 MHz is to be discussed. The number would be increased significant if small granularity is defined as below 100 </w:t>
      </w:r>
      <w:proofErr w:type="spellStart"/>
      <w:r>
        <w:rPr>
          <w:lang w:val="en-US"/>
        </w:rPr>
        <w:t>MHz.</w:t>
      </w:r>
      <w:proofErr w:type="spellEnd"/>
      <w:r>
        <w:rPr>
          <w:lang w:val="en-US"/>
        </w:rPr>
        <w:t xml:space="preserve"> Too many bandwidth types increase the design and test/verification workload and implementation complexity for UE implementation. Hence from the UE implementation and test coverage perspective, only a finite set of channel bandwidth would be possible. If a generic approach can be adopted to handle the irregular channel bandwidth in 6G, it could help to reduce the number of channel bandwidths which would be benefit for the UE design and test effort. It is proposed to study the possibility to reduce the number of regular channel bandwidths.</w:t>
      </w:r>
    </w:p>
    <w:p w14:paraId="3B2868E6" w14:textId="450C5711" w:rsidR="009D45A5" w:rsidRPr="009D45A5" w:rsidRDefault="009D45A5" w:rsidP="009D45A5">
      <w:pPr>
        <w:pStyle w:val="ae"/>
        <w:snapToGrid w:val="0"/>
        <w:spacing w:after="0"/>
        <w:jc w:val="both"/>
        <w:rPr>
          <w:i/>
        </w:rPr>
      </w:pPr>
      <w:r w:rsidRPr="009D45A5">
        <w:rPr>
          <w:i/>
        </w:rPr>
        <w:t>Observation</w:t>
      </w:r>
      <w:r>
        <w:rPr>
          <w:i/>
        </w:rPr>
        <w:t xml:space="preserve"> </w:t>
      </w:r>
      <w:r w:rsidR="00FE5C32">
        <w:rPr>
          <w:i/>
        </w:rPr>
        <w:t>5-1</w:t>
      </w:r>
      <w:r w:rsidRPr="009D45A5">
        <w:rPr>
          <w:i/>
        </w:rPr>
        <w:t xml:space="preserve">: </w:t>
      </w:r>
      <w:r w:rsidRPr="009D45A5">
        <w:rPr>
          <w:b w:val="0"/>
          <w:bCs/>
          <w:i/>
        </w:rPr>
        <w:t>A generic approach to handle irregular channel bandwidth may help to reduce the number of regular channel bandwidths be supported for 6G UE.</w:t>
      </w:r>
    </w:p>
    <w:p w14:paraId="5E7584A6" w14:textId="66D21C85" w:rsidR="009D45A5" w:rsidRPr="009D45A5" w:rsidRDefault="009D45A5" w:rsidP="009D45A5">
      <w:pPr>
        <w:pStyle w:val="ae"/>
        <w:snapToGrid w:val="0"/>
        <w:jc w:val="both"/>
        <w:rPr>
          <w:i/>
        </w:rPr>
      </w:pPr>
      <w:r w:rsidRPr="009D45A5">
        <w:rPr>
          <w:i/>
        </w:rPr>
        <w:t>Proposal</w:t>
      </w:r>
      <w:r>
        <w:rPr>
          <w:i/>
        </w:rPr>
        <w:t xml:space="preserve"> </w:t>
      </w:r>
      <w:r w:rsidR="00FE5C32">
        <w:rPr>
          <w:i/>
        </w:rPr>
        <w:t>5-1</w:t>
      </w:r>
      <w:r w:rsidRPr="009D45A5">
        <w:rPr>
          <w:i/>
        </w:rPr>
        <w:t>: It is proposed to study a generic solution with the goal of reducing the number of regular channel bandwidths</w:t>
      </w:r>
      <w:r>
        <w:rPr>
          <w:i/>
        </w:rPr>
        <w:t>.</w:t>
      </w:r>
    </w:p>
    <w:p w14:paraId="5D6EC73E" w14:textId="77777777" w:rsidR="009D45A5" w:rsidRDefault="009D45A5" w:rsidP="009D45A5">
      <w:pPr>
        <w:snapToGrid w:val="0"/>
        <w:spacing w:after="120" w:line="276" w:lineRule="auto"/>
        <w:jc w:val="both"/>
        <w:rPr>
          <w:lang w:val="en-US"/>
        </w:rPr>
      </w:pPr>
      <w:r>
        <w:rPr>
          <w:lang w:val="en-US" w:bidi="ar"/>
        </w:rPr>
        <w:t xml:space="preserve">And among these schemes discussed in TR 38.844, overlapping UE CBW and larger CBW has less impact to UE complexity, however, the UE throughput is limited to legacy CBW in UL or both DL and UL, which need more study for 6G. For larger CBW scheme in TR 38.844, it is only applicable to DL and new asymmetric bandwidth combinations for </w:t>
      </w:r>
      <w:r>
        <w:rPr>
          <w:lang w:val="en-US" w:bidi="ar"/>
        </w:rPr>
        <w:lastRenderedPageBreak/>
        <w:t>UE are needed. In our view for 6G we should study whether/how larger CBW scheme can apply to UL and avoid to introduction of asymmetric bandwidth combinations.</w:t>
      </w:r>
    </w:p>
    <w:p w14:paraId="553D129C" w14:textId="391D5DC7" w:rsidR="009D45A5" w:rsidRDefault="009D45A5" w:rsidP="009D45A5">
      <w:pPr>
        <w:jc w:val="both"/>
        <w:rPr>
          <w:lang w:val="en-US" w:bidi="ar"/>
        </w:rPr>
      </w:pPr>
      <w:r>
        <w:rPr>
          <w:lang w:val="en-US" w:bidi="ar"/>
        </w:rPr>
        <w:t>And for the overall generic solution, we can consider to define a finite set of channel bandwidths in the specification, and for other channel bandwidth in between two standard channel bandwidths is supported by scalable bandwidth. BS RF requirements are based on corresponding channel bandwidth filter is implemented, and UE additional RF requirements if needed are based on next wider channel bandwidth.</w:t>
      </w:r>
    </w:p>
    <w:p w14:paraId="1F7CCD93" w14:textId="77777777" w:rsidR="009D45A5" w:rsidRDefault="009D45A5" w:rsidP="009D45A5">
      <w:pPr>
        <w:spacing w:after="0"/>
        <w:jc w:val="both"/>
        <w:rPr>
          <w:lang w:val="en-US" w:bidi="ar"/>
        </w:rPr>
      </w:pPr>
      <w:r>
        <w:rPr>
          <w:lang w:val="en-US" w:bidi="ar"/>
        </w:rPr>
        <w:t>On BS side, the channel bandwidth set is declared by the vendors, hence it would be acceptable to support the additional irregular channel bandwidth for the specific band and operator’s spectrum holding. In general, for the RF requirement definition, we should aim to define the RAN4 requirements as many as possible in a BW independent/scalable manner. And on UE side, only regular channel bandwidth set is defined.</w:t>
      </w:r>
    </w:p>
    <w:p w14:paraId="36A368C5" w14:textId="1EF079F4" w:rsidR="009D45A5" w:rsidRPr="009D45A5" w:rsidRDefault="009D45A5" w:rsidP="009D45A5">
      <w:pPr>
        <w:pStyle w:val="ae"/>
        <w:snapToGrid w:val="0"/>
        <w:jc w:val="both"/>
        <w:rPr>
          <w:i/>
        </w:rPr>
      </w:pPr>
      <w:r w:rsidRPr="009D45A5">
        <w:rPr>
          <w:i/>
        </w:rPr>
        <w:t>Proposal</w:t>
      </w:r>
      <w:r>
        <w:rPr>
          <w:i/>
        </w:rPr>
        <w:t xml:space="preserve"> </w:t>
      </w:r>
      <w:r w:rsidR="00FE5C32">
        <w:rPr>
          <w:i/>
        </w:rPr>
        <w:t>5-2</w:t>
      </w:r>
      <w:r w:rsidRPr="009D45A5">
        <w:rPr>
          <w:i/>
        </w:rPr>
        <w:t>: it is proposed to study whether/how larger CBW scheme can apply to UL and avoid to introduction of asymmetric bandwidth combinations.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859B79D" w:rsidR="00FC30F5" w:rsidRDefault="005369EE" w:rsidP="006272FF">
      <w:pPr>
        <w:jc w:val="both"/>
      </w:pPr>
      <w:r>
        <w:t xml:space="preserve">This contribution provides </w:t>
      </w:r>
      <w:r w:rsidR="00747459">
        <w:t>our consideration on system parameters for 6G.</w:t>
      </w:r>
    </w:p>
    <w:p w14:paraId="19497B38" w14:textId="27BF5EC4" w:rsidR="00D106D6" w:rsidRPr="00B102EE" w:rsidRDefault="00903DFB" w:rsidP="009D45A5">
      <w:pPr>
        <w:spacing w:after="0"/>
        <w:jc w:val="both"/>
        <w:rPr>
          <w:b/>
          <w:i/>
          <w:u w:val="single"/>
          <w:lang w:val="en-US" w:eastAsia="en-US"/>
        </w:rPr>
      </w:pPr>
      <w:r>
        <w:rPr>
          <w:b/>
          <w:i/>
          <w:highlight w:val="lightGray"/>
          <w:u w:val="single"/>
          <w:lang w:val="en-US"/>
        </w:rPr>
        <w:t>Maximum channel bandwidth</w:t>
      </w:r>
    </w:p>
    <w:p w14:paraId="7CDF2E7D" w14:textId="7D9E8FA1" w:rsidR="00680EED" w:rsidRDefault="00680EED" w:rsidP="00FE5C32">
      <w:pPr>
        <w:spacing w:beforeLines="50" w:before="120"/>
        <w:jc w:val="both"/>
        <w:rPr>
          <w:b/>
          <w:i/>
          <w:lang w:val="en-US"/>
        </w:rPr>
      </w:pPr>
      <w:r>
        <w:rPr>
          <w:b/>
          <w:i/>
          <w:lang w:val="en-US"/>
        </w:rPr>
        <w:t xml:space="preserve">Proposal </w:t>
      </w:r>
      <w:r w:rsidR="00FE5C32">
        <w:rPr>
          <w:b/>
          <w:i/>
          <w:lang w:val="en-US"/>
        </w:rPr>
        <w:t>1-1</w:t>
      </w:r>
      <w:r>
        <w:rPr>
          <w:b/>
          <w:i/>
          <w:lang w:val="en-US"/>
        </w:rPr>
        <w:t xml:space="preserve">: </w:t>
      </w:r>
      <w:r w:rsidR="00FE5C32">
        <w:rPr>
          <w:b/>
          <w:i/>
          <w:lang w:val="en-US"/>
        </w:rPr>
        <w:t>If a single FFT size is considered as a baseline, other FFT size(s) are not precluded</w:t>
      </w:r>
      <w:r w:rsidR="008B47CF">
        <w:rPr>
          <w:b/>
          <w:i/>
          <w:lang w:val="en-US"/>
        </w:rPr>
        <w:t xml:space="preserve"> just</w:t>
      </w:r>
      <w:r w:rsidR="00FE5C32">
        <w:rPr>
          <w:b/>
          <w:i/>
          <w:lang w:val="en-US"/>
        </w:rPr>
        <w:t xml:space="preserve"> as implementation choice considering the wide frequency range.</w:t>
      </w:r>
    </w:p>
    <w:p w14:paraId="56FE899F" w14:textId="63457E2F" w:rsidR="00D106D6" w:rsidRPr="00680EED" w:rsidRDefault="00680EED" w:rsidP="00D106D6">
      <w:pPr>
        <w:jc w:val="both"/>
        <w:rPr>
          <w:b/>
          <w:bCs/>
          <w:i/>
          <w:iCs/>
          <w:lang w:val="en-US"/>
        </w:rPr>
      </w:pPr>
      <w:r>
        <w:rPr>
          <w:b/>
          <w:i/>
          <w:lang w:val="en-US"/>
        </w:rPr>
        <w:t xml:space="preserve">Proposal </w:t>
      </w:r>
      <w:r w:rsidR="00FE5C32">
        <w:rPr>
          <w:b/>
          <w:i/>
          <w:lang w:val="en-US"/>
        </w:rPr>
        <w:t>1-2</w:t>
      </w:r>
      <w:r>
        <w:rPr>
          <w:b/>
          <w:i/>
          <w:lang w:val="en-US"/>
        </w:rPr>
        <w:t xml:space="preserve">: </w:t>
      </w:r>
      <w:r w:rsidRPr="004445A4">
        <w:rPr>
          <w:b/>
          <w:i/>
          <w:lang w:val="en-US"/>
        </w:rPr>
        <w:t>RAN4 should conduct quantitative comparisons of implementation options, assessing their RF performance and architectural trade-offs, to support a joint conclusion on the maximum channel bandwidth.</w:t>
      </w:r>
    </w:p>
    <w:p w14:paraId="5DBECA3B" w14:textId="5BD75531" w:rsidR="00903DFB" w:rsidRPr="00B102EE" w:rsidRDefault="00903DFB" w:rsidP="00903DFB">
      <w:pPr>
        <w:jc w:val="both"/>
        <w:rPr>
          <w:b/>
          <w:i/>
          <w:u w:val="single"/>
          <w:lang w:val="en-US" w:eastAsia="en-US"/>
        </w:rPr>
      </w:pPr>
      <w:r>
        <w:rPr>
          <w:b/>
          <w:i/>
          <w:highlight w:val="lightGray"/>
          <w:u w:val="single"/>
          <w:lang w:val="en-US"/>
        </w:rPr>
        <w:t>Minimum channel bandwidth</w:t>
      </w:r>
    </w:p>
    <w:p w14:paraId="2C4A7BFB" w14:textId="2545F3F4" w:rsidR="00D106D6" w:rsidRPr="00057755" w:rsidRDefault="00FE5C32" w:rsidP="00D106D6">
      <w:pPr>
        <w:jc w:val="both"/>
        <w:rPr>
          <w:b/>
          <w:i/>
          <w:iCs/>
        </w:rPr>
      </w:pPr>
      <w:r w:rsidRPr="00100384">
        <w:rPr>
          <w:b/>
          <w:bCs/>
          <w:i/>
          <w:iCs/>
        </w:rPr>
        <w:t>Proposal</w:t>
      </w:r>
      <w:r>
        <w:rPr>
          <w:b/>
          <w:bCs/>
          <w:i/>
          <w:iCs/>
        </w:rPr>
        <w:t xml:space="preserve"> 2-1</w:t>
      </w:r>
      <w:r w:rsidRPr="00100384">
        <w:rPr>
          <w:b/>
          <w:bCs/>
          <w:i/>
          <w:iCs/>
        </w:rPr>
        <w:t>: Decouple the minimum channel bandwidth defined for specific spectrum/operating bands from the minimum channel bandwidth required for initial access. The latter should be determined by RAN1 as part of the initial access design.</w:t>
      </w:r>
    </w:p>
    <w:p w14:paraId="25E34917" w14:textId="0ED3DBDD" w:rsidR="00D106D6" w:rsidRPr="00B102EE" w:rsidRDefault="00903DFB" w:rsidP="00D106D6">
      <w:pPr>
        <w:jc w:val="both"/>
        <w:rPr>
          <w:b/>
          <w:i/>
          <w:u w:val="single"/>
          <w:lang w:val="en-US" w:eastAsia="en-US"/>
        </w:rPr>
      </w:pPr>
      <w:r>
        <w:rPr>
          <w:b/>
          <w:i/>
          <w:highlight w:val="lightGray"/>
          <w:u w:val="single"/>
          <w:lang w:val="en-US"/>
        </w:rPr>
        <w:t>Numerology</w:t>
      </w:r>
    </w:p>
    <w:p w14:paraId="7F2EFA70" w14:textId="49A7429F" w:rsidR="00D106D6" w:rsidRDefault="00FE5C32" w:rsidP="00EC6F3A">
      <w:pPr>
        <w:pStyle w:val="af6"/>
        <w:spacing w:after="0"/>
        <w:jc w:val="both"/>
        <w:rPr>
          <w:b/>
          <w:bCs/>
          <w:i/>
          <w:iCs/>
          <w:lang w:val="en-US"/>
        </w:rPr>
      </w:pPr>
      <w:r w:rsidRPr="00302EFF">
        <w:rPr>
          <w:b/>
          <w:bCs/>
          <w:i/>
          <w:iCs/>
          <w:lang w:val="en-US"/>
        </w:rPr>
        <w:t>Proposal</w:t>
      </w:r>
      <w:r>
        <w:rPr>
          <w:b/>
          <w:bCs/>
          <w:i/>
          <w:iCs/>
          <w:lang w:val="en-US"/>
        </w:rPr>
        <w:t xml:space="preserve"> 3-1</w:t>
      </w:r>
      <w:r w:rsidRPr="00302EFF">
        <w:rPr>
          <w:b/>
          <w:bCs/>
          <w:i/>
          <w:iCs/>
          <w:lang w:val="en-US"/>
        </w:rPr>
        <w:t xml:space="preserve">: </w:t>
      </w:r>
      <w:r w:rsidRPr="00FE7646">
        <w:rPr>
          <w:b/>
          <w:bCs/>
          <w:i/>
          <w:iCs/>
          <w:lang w:val="en-US"/>
        </w:rPr>
        <w:t>Single numerology</w:t>
      </w:r>
      <w:r>
        <w:rPr>
          <w:b/>
          <w:bCs/>
          <w:i/>
          <w:iCs/>
          <w:lang w:val="en-US"/>
        </w:rPr>
        <w:t xml:space="preserve"> is considered as starting point for 6G</w:t>
      </w:r>
      <w:r w:rsidRPr="003D3002">
        <w:rPr>
          <w:b/>
          <w:bCs/>
          <w:i/>
          <w:iCs/>
          <w:lang w:val="en-US"/>
        </w:rPr>
        <w:t>.</w:t>
      </w:r>
    </w:p>
    <w:p w14:paraId="30B3A701" w14:textId="0599A54B" w:rsidR="00EC6F3A" w:rsidRDefault="00EC6F3A" w:rsidP="00EC6F3A">
      <w:pPr>
        <w:pStyle w:val="af6"/>
        <w:numPr>
          <w:ilvl w:val="0"/>
          <w:numId w:val="26"/>
        </w:numPr>
        <w:spacing w:after="0"/>
        <w:jc w:val="both"/>
        <w:rPr>
          <w:b/>
          <w:bCs/>
          <w:i/>
          <w:iCs/>
          <w:lang w:val="en-US"/>
        </w:rPr>
      </w:pPr>
      <w:r>
        <w:rPr>
          <w:rFonts w:hint="eastAsia"/>
          <w:b/>
          <w:bCs/>
          <w:i/>
          <w:iCs/>
          <w:lang w:val="en-US"/>
        </w:rPr>
        <w:t>S</w:t>
      </w:r>
      <w:r>
        <w:rPr>
          <w:b/>
          <w:bCs/>
          <w:i/>
          <w:iCs/>
          <w:lang w:val="en-US"/>
        </w:rPr>
        <w:t>ingle SCS for each band</w:t>
      </w:r>
    </w:p>
    <w:p w14:paraId="7266EF6E" w14:textId="32241B8F" w:rsidR="00EC6F3A" w:rsidRDefault="00EC6F3A" w:rsidP="00EC6F3A">
      <w:pPr>
        <w:pStyle w:val="af6"/>
        <w:numPr>
          <w:ilvl w:val="1"/>
          <w:numId w:val="26"/>
        </w:numPr>
        <w:spacing w:after="0"/>
        <w:jc w:val="both"/>
        <w:rPr>
          <w:b/>
          <w:bCs/>
          <w:i/>
          <w:iCs/>
          <w:lang w:val="en-US"/>
        </w:rPr>
      </w:pPr>
      <w:r>
        <w:rPr>
          <w:rFonts w:hint="eastAsia"/>
          <w:b/>
          <w:bCs/>
          <w:i/>
          <w:iCs/>
          <w:lang w:val="en-US"/>
        </w:rPr>
        <w:t>1</w:t>
      </w:r>
      <w:r>
        <w:rPr>
          <w:b/>
          <w:bCs/>
          <w:i/>
          <w:iCs/>
          <w:lang w:val="en-US"/>
        </w:rPr>
        <w:t>5kHz for FDD bands</w:t>
      </w:r>
    </w:p>
    <w:p w14:paraId="2E421D62" w14:textId="6DCD5DAD" w:rsidR="00EC6F3A" w:rsidRDefault="00EC6F3A" w:rsidP="00EC6F3A">
      <w:pPr>
        <w:pStyle w:val="af6"/>
        <w:numPr>
          <w:ilvl w:val="1"/>
          <w:numId w:val="26"/>
        </w:numPr>
        <w:spacing w:after="0"/>
        <w:jc w:val="both"/>
        <w:rPr>
          <w:b/>
          <w:bCs/>
          <w:i/>
          <w:iCs/>
          <w:lang w:val="en-US"/>
        </w:rPr>
      </w:pPr>
      <w:r>
        <w:rPr>
          <w:rFonts w:hint="eastAsia"/>
          <w:b/>
          <w:bCs/>
          <w:i/>
          <w:iCs/>
          <w:lang w:val="en-US"/>
        </w:rPr>
        <w:t>3</w:t>
      </w:r>
      <w:r>
        <w:rPr>
          <w:b/>
          <w:bCs/>
          <w:i/>
          <w:iCs/>
          <w:lang w:val="en-US"/>
        </w:rPr>
        <w:t>0kHz for TDD bands</w:t>
      </w:r>
    </w:p>
    <w:p w14:paraId="57363ACC" w14:textId="437477F5" w:rsidR="00EC6F3A" w:rsidRPr="00EC6F3A" w:rsidRDefault="00EC6F3A" w:rsidP="00EC6F3A">
      <w:pPr>
        <w:pStyle w:val="af6"/>
        <w:numPr>
          <w:ilvl w:val="0"/>
          <w:numId w:val="26"/>
        </w:numPr>
        <w:jc w:val="both"/>
        <w:rPr>
          <w:b/>
          <w:bCs/>
          <w:i/>
          <w:iCs/>
          <w:lang w:val="en-US"/>
        </w:rPr>
      </w:pPr>
      <w:r>
        <w:rPr>
          <w:rFonts w:hint="eastAsia"/>
          <w:b/>
          <w:bCs/>
          <w:i/>
          <w:iCs/>
          <w:lang w:val="en-US"/>
        </w:rPr>
        <w:t>S</w:t>
      </w:r>
      <w:r>
        <w:rPr>
          <w:b/>
          <w:bCs/>
          <w:i/>
          <w:iCs/>
          <w:lang w:val="en-US"/>
        </w:rPr>
        <w:t>ingle SCS for both data and SSB</w:t>
      </w:r>
    </w:p>
    <w:p w14:paraId="56E6BB3A" w14:textId="0505A5FB" w:rsidR="00D106D6" w:rsidRPr="00B102EE" w:rsidRDefault="00903DFB" w:rsidP="00D106D6">
      <w:pPr>
        <w:jc w:val="both"/>
        <w:rPr>
          <w:b/>
          <w:i/>
          <w:u w:val="single"/>
          <w:lang w:val="en-US" w:eastAsia="en-US"/>
        </w:rPr>
      </w:pPr>
      <w:r>
        <w:rPr>
          <w:b/>
          <w:i/>
          <w:highlight w:val="lightGray"/>
          <w:u w:val="single"/>
          <w:lang w:val="en-US"/>
        </w:rPr>
        <w:t>Spectrum utilization</w:t>
      </w:r>
    </w:p>
    <w:p w14:paraId="50AD056C" w14:textId="77777777" w:rsidR="00FE5C32" w:rsidRDefault="00FE5C32" w:rsidP="00FE5C32">
      <w:pPr>
        <w:jc w:val="both"/>
        <w:rPr>
          <w:b/>
          <w:bCs/>
          <w:i/>
          <w:iCs/>
          <w:lang w:val="en-US"/>
        </w:rPr>
      </w:pPr>
      <w:r w:rsidRPr="00302EFF">
        <w:rPr>
          <w:b/>
          <w:bCs/>
          <w:i/>
          <w:iCs/>
          <w:lang w:val="en-US"/>
        </w:rPr>
        <w:t>Proposal</w:t>
      </w:r>
      <w:r>
        <w:rPr>
          <w:b/>
          <w:bCs/>
          <w:i/>
          <w:iCs/>
          <w:lang w:val="en-US"/>
        </w:rPr>
        <w:t xml:space="preserve"> 4-1</w:t>
      </w:r>
      <w:r w:rsidRPr="00302EFF">
        <w:rPr>
          <w:b/>
          <w:bCs/>
          <w:i/>
          <w:iCs/>
          <w:lang w:val="en-US"/>
        </w:rPr>
        <w:t xml:space="preserve">: </w:t>
      </w:r>
      <w:r w:rsidRPr="00EF746A">
        <w:rPr>
          <w:b/>
          <w:bCs/>
          <w:i/>
          <w:iCs/>
          <w:lang w:val="en-US"/>
        </w:rPr>
        <w:t xml:space="preserve">The evaluation assumptions for waveform analysis </w:t>
      </w:r>
      <w:r>
        <w:rPr>
          <w:b/>
          <w:bCs/>
          <w:i/>
          <w:iCs/>
          <w:lang w:val="en-US"/>
        </w:rPr>
        <w:t>could</w:t>
      </w:r>
      <w:r w:rsidRPr="00EF746A">
        <w:rPr>
          <w:b/>
          <w:bCs/>
          <w:i/>
          <w:iCs/>
          <w:lang w:val="en-US"/>
        </w:rPr>
        <w:t xml:space="preserve"> also serve as a basis for initial SU evaluations</w:t>
      </w:r>
      <w:r>
        <w:rPr>
          <w:b/>
          <w:bCs/>
          <w:i/>
          <w:iCs/>
          <w:lang w:val="en-US"/>
        </w:rPr>
        <w:t xml:space="preserve">, </w:t>
      </w:r>
      <w:r w:rsidRPr="00792328">
        <w:rPr>
          <w:b/>
          <w:bCs/>
          <w:i/>
          <w:iCs/>
          <w:lang w:val="en-US"/>
        </w:rPr>
        <w:t>leverag</w:t>
      </w:r>
      <w:r>
        <w:rPr>
          <w:b/>
          <w:bCs/>
          <w:i/>
          <w:iCs/>
          <w:lang w:val="en-US"/>
        </w:rPr>
        <w:t>ing</w:t>
      </w:r>
      <w:r w:rsidRPr="00792328">
        <w:rPr>
          <w:b/>
          <w:bCs/>
          <w:i/>
          <w:iCs/>
          <w:lang w:val="en-US"/>
        </w:rPr>
        <w:t xml:space="preserve"> existing 5G requirements and assumptions, while incorporating advanced spectrum confinement techniques</w:t>
      </w:r>
      <w:r w:rsidRPr="00EF746A">
        <w:rPr>
          <w:b/>
          <w:bCs/>
          <w:i/>
          <w:iCs/>
          <w:lang w:val="en-US"/>
        </w:rPr>
        <w:t>.</w:t>
      </w:r>
    </w:p>
    <w:p w14:paraId="7B3D74C3" w14:textId="18B5CFF6" w:rsidR="00D106D6" w:rsidRDefault="00FE5C32" w:rsidP="00FE5C32">
      <w:pPr>
        <w:pStyle w:val="af6"/>
        <w:jc w:val="both"/>
        <w:rPr>
          <w:b/>
          <w:bCs/>
          <w:i/>
          <w:iCs/>
          <w:lang w:val="en-US"/>
        </w:rPr>
      </w:pPr>
      <w:r>
        <w:rPr>
          <w:rFonts w:hint="eastAsia"/>
          <w:b/>
          <w:bCs/>
          <w:i/>
          <w:iCs/>
          <w:lang w:val="en-US"/>
        </w:rPr>
        <w:t>P</w:t>
      </w:r>
      <w:r>
        <w:rPr>
          <w:b/>
          <w:bCs/>
          <w:i/>
          <w:iCs/>
          <w:lang w:val="en-US"/>
        </w:rPr>
        <w:t xml:space="preserve">roposal 4-2: No limitation on the adopted spectrum confinement techniques, </w:t>
      </w:r>
      <w:r w:rsidRPr="00792328">
        <w:rPr>
          <w:b/>
          <w:bCs/>
          <w:i/>
          <w:iCs/>
          <w:lang w:val="en-US"/>
        </w:rPr>
        <w:t>provided that companies clearly declare the techniques used in their evaluations</w:t>
      </w:r>
      <w:r>
        <w:rPr>
          <w:b/>
          <w:bCs/>
          <w:i/>
          <w:iCs/>
          <w:lang w:val="en-US"/>
        </w:rPr>
        <w:t>.</w:t>
      </w:r>
    </w:p>
    <w:p w14:paraId="0340C9B7" w14:textId="0430291C" w:rsidR="009D45A5" w:rsidRPr="00B102EE" w:rsidRDefault="009D45A5" w:rsidP="009D45A5">
      <w:pPr>
        <w:spacing w:after="0"/>
        <w:jc w:val="both"/>
        <w:rPr>
          <w:b/>
          <w:i/>
          <w:u w:val="single"/>
          <w:lang w:val="en-US" w:eastAsia="en-US"/>
        </w:rPr>
      </w:pPr>
      <w:r>
        <w:rPr>
          <w:b/>
          <w:i/>
          <w:highlight w:val="lightGray"/>
          <w:u w:val="single"/>
          <w:lang w:val="en-US"/>
        </w:rPr>
        <w:t>Flexible channel bandwidth</w:t>
      </w:r>
    </w:p>
    <w:p w14:paraId="0631BDB4" w14:textId="143A8A71" w:rsidR="009D45A5" w:rsidRPr="009D45A5" w:rsidRDefault="009D45A5" w:rsidP="009D45A5">
      <w:pPr>
        <w:pStyle w:val="ae"/>
        <w:snapToGrid w:val="0"/>
        <w:jc w:val="both"/>
        <w:rPr>
          <w:i/>
        </w:rPr>
      </w:pPr>
      <w:r w:rsidRPr="009D45A5">
        <w:rPr>
          <w:i/>
        </w:rPr>
        <w:t xml:space="preserve">Observation </w:t>
      </w:r>
      <w:r w:rsidR="00FE5C32">
        <w:rPr>
          <w:i/>
        </w:rPr>
        <w:t>5-1</w:t>
      </w:r>
      <w:r w:rsidRPr="009D45A5">
        <w:rPr>
          <w:i/>
        </w:rPr>
        <w:t xml:space="preserve">: </w:t>
      </w:r>
      <w:r w:rsidRPr="009D45A5">
        <w:rPr>
          <w:b w:val="0"/>
          <w:bCs/>
          <w:i/>
        </w:rPr>
        <w:t>A generic approach to handle irregular channel bandwidth may help to reduce the number of regular channel bandwidths be supported for 6G UE.</w:t>
      </w:r>
    </w:p>
    <w:p w14:paraId="43EFBBB7" w14:textId="13A6D4A3" w:rsidR="009D45A5" w:rsidRPr="009D45A5" w:rsidRDefault="009D45A5" w:rsidP="009D45A5">
      <w:pPr>
        <w:jc w:val="both"/>
        <w:rPr>
          <w:b/>
          <w:bCs/>
          <w:i/>
          <w:iCs/>
          <w:lang w:val="en-US"/>
        </w:rPr>
      </w:pPr>
      <w:r w:rsidRPr="009D45A5">
        <w:rPr>
          <w:b/>
          <w:bCs/>
          <w:i/>
          <w:iCs/>
          <w:lang w:val="en-US"/>
        </w:rPr>
        <w:t xml:space="preserve">Proposal </w:t>
      </w:r>
      <w:r w:rsidR="00FE5C32">
        <w:rPr>
          <w:b/>
          <w:bCs/>
          <w:i/>
          <w:iCs/>
          <w:lang w:val="en-US"/>
        </w:rPr>
        <w:t>5-1</w:t>
      </w:r>
      <w:r w:rsidRPr="009D45A5">
        <w:rPr>
          <w:b/>
          <w:bCs/>
          <w:i/>
          <w:iCs/>
          <w:lang w:val="en-US"/>
        </w:rPr>
        <w:t xml:space="preserve">: It is proposed to study a generic solution with the goal of reducing the number of regular channel bandwidths. </w:t>
      </w:r>
    </w:p>
    <w:p w14:paraId="3150C921" w14:textId="2D938620" w:rsidR="009D45A5" w:rsidRPr="0040365B" w:rsidRDefault="009D45A5" w:rsidP="00680EED">
      <w:pPr>
        <w:pStyle w:val="af6"/>
        <w:jc w:val="both"/>
        <w:rPr>
          <w:b/>
          <w:i/>
          <w:lang w:val="en-US" w:eastAsia="en-US"/>
        </w:rPr>
      </w:pPr>
      <w:r w:rsidRPr="009D45A5">
        <w:rPr>
          <w:b/>
          <w:bCs/>
          <w:i/>
          <w:iCs/>
          <w:lang w:val="en-US"/>
        </w:rPr>
        <w:t xml:space="preserve">Proposal </w:t>
      </w:r>
      <w:r w:rsidR="00FE5C32">
        <w:rPr>
          <w:b/>
          <w:bCs/>
          <w:i/>
          <w:iCs/>
          <w:lang w:val="en-US"/>
        </w:rPr>
        <w:t>5-2</w:t>
      </w:r>
      <w:r w:rsidRPr="009D45A5">
        <w:rPr>
          <w:b/>
          <w:bCs/>
          <w:i/>
          <w:iCs/>
          <w:lang w:val="en-US"/>
        </w:rPr>
        <w:t>: it is proposed to study whether/how larger CBW scheme can apply to UL and avoid to introduction of asymmetric bandwidth combinations.</w:t>
      </w:r>
    </w:p>
    <w:p w14:paraId="19B071DD" w14:textId="77777777" w:rsidR="00B22DA6" w:rsidRDefault="00B22DA6" w:rsidP="006272FF">
      <w:pPr>
        <w:pStyle w:val="1"/>
        <w:numPr>
          <w:ilvl w:val="0"/>
          <w:numId w:val="0"/>
        </w:numPr>
        <w:jc w:val="both"/>
        <w:rPr>
          <w:rFonts w:eastAsia="宋体"/>
          <w:lang w:eastAsia="zh-CN"/>
        </w:rPr>
      </w:pPr>
      <w:r>
        <w:lastRenderedPageBreak/>
        <w:t>References</w:t>
      </w:r>
    </w:p>
    <w:p w14:paraId="210CF491" w14:textId="0CE8F85F" w:rsidR="00C53757" w:rsidRDefault="0035262B" w:rsidP="006272FF">
      <w:pPr>
        <w:jc w:val="both"/>
        <w:rPr>
          <w:lang w:eastAsia="ja-JP"/>
        </w:rPr>
      </w:pPr>
      <w:r>
        <w:rPr>
          <w:rFonts w:hint="eastAsia"/>
        </w:rPr>
        <w:t>[1]</w:t>
      </w:r>
      <w:r w:rsidR="005369EE">
        <w:t xml:space="preserve"> </w:t>
      </w:r>
      <w:r w:rsidR="007E484A" w:rsidRPr="007E484A">
        <w:rPr>
          <w:lang w:eastAsia="ja-JP"/>
        </w:rPr>
        <w:t>R4-2514508</w:t>
      </w:r>
      <w:r w:rsidR="008A30F9">
        <w:rPr>
          <w:lang w:eastAsia="ja-JP"/>
        </w:rPr>
        <w:t>,</w:t>
      </w:r>
      <w:r w:rsidR="007E484A" w:rsidRPr="007E484A">
        <w:rPr>
          <w:lang w:eastAsia="ja-JP"/>
        </w:rPr>
        <w:t xml:space="preserve"> Feature lead summary for [116bis][101] 6G system parameter</w:t>
      </w:r>
    </w:p>
    <w:p w14:paraId="2FDFB449" w14:textId="608D006B" w:rsidR="00763C49" w:rsidRDefault="00763C49" w:rsidP="00763C49">
      <w:pPr>
        <w:jc w:val="both"/>
      </w:pPr>
      <w:r>
        <w:t xml:space="preserve">[2] </w:t>
      </w:r>
      <w:r w:rsidR="007E484A" w:rsidRPr="007E484A">
        <w:t>R4-25146</w:t>
      </w:r>
      <w:r w:rsidR="00BD030F">
        <w:t>41</w:t>
      </w:r>
      <w:r w:rsidR="008A30F9">
        <w:t>,</w:t>
      </w:r>
      <w:r w:rsidR="007E484A" w:rsidRPr="007E484A">
        <w:t xml:space="preserve"> WF on 6GR system parameter</w:t>
      </w:r>
    </w:p>
    <w:p w14:paraId="2EEE06C2" w14:textId="0C8F1657" w:rsidR="00433F97" w:rsidRDefault="00433F97" w:rsidP="00763C49">
      <w:pPr>
        <w:jc w:val="both"/>
      </w:pPr>
      <w:r>
        <w:rPr>
          <w:rFonts w:hint="eastAsia"/>
        </w:rPr>
        <w:t>[</w:t>
      </w:r>
      <w:r>
        <w:t xml:space="preserve">3] </w:t>
      </w:r>
      <w:r w:rsidRPr="00433F97">
        <w:t>R4-2514642</w:t>
      </w:r>
      <w:r>
        <w:t xml:space="preserve">, </w:t>
      </w:r>
      <w:r w:rsidRPr="00433F97">
        <w:t>WF for 6G general RF and UE RF</w:t>
      </w:r>
    </w:p>
    <w:sectPr w:rsidR="00433F9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30139" w14:textId="77777777" w:rsidR="002075CE" w:rsidRDefault="002075CE" w:rsidP="0052762B">
      <w:r>
        <w:separator/>
      </w:r>
    </w:p>
  </w:endnote>
  <w:endnote w:type="continuationSeparator" w:id="0">
    <w:p w14:paraId="308B9AFA" w14:textId="77777777" w:rsidR="002075CE" w:rsidRDefault="002075C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034E7" w14:textId="77777777" w:rsidR="002075CE" w:rsidRDefault="002075CE" w:rsidP="0052762B">
      <w:r>
        <w:separator/>
      </w:r>
    </w:p>
  </w:footnote>
  <w:footnote w:type="continuationSeparator" w:id="0">
    <w:p w14:paraId="3FD7A977" w14:textId="77777777" w:rsidR="002075CE" w:rsidRDefault="002075C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7"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19"/>
  </w:num>
  <w:num w:numId="5">
    <w:abstractNumId w:val="18"/>
  </w:num>
  <w:num w:numId="6">
    <w:abstractNumId w:val="10"/>
  </w:num>
  <w:num w:numId="7">
    <w:abstractNumId w:val="15"/>
  </w:num>
  <w:num w:numId="8">
    <w:abstractNumId w:val="21"/>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6"/>
  </w:num>
  <w:num w:numId="19">
    <w:abstractNumId w:val="13"/>
  </w:num>
  <w:num w:numId="20">
    <w:abstractNumId w:val="4"/>
  </w:num>
  <w:num w:numId="21">
    <w:abstractNumId w:val="3"/>
  </w:num>
  <w:num w:numId="22">
    <w:abstractNumId w:val="14"/>
  </w:num>
  <w:num w:numId="23">
    <w:abstractNumId w:val="17"/>
  </w:num>
  <w:num w:numId="24">
    <w:abstractNumId w:val="2"/>
  </w:num>
  <w:num w:numId="25">
    <w:abstractNumId w:val="20"/>
  </w:num>
  <w:num w:numId="2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E5C3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302A6-3308-4877-B006-823428B4D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6</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2025-11-07T08:06:00Z</dcterms:created>
  <dcterms:modified xsi:type="dcterms:W3CDTF">2025-11-07T12:08:00Z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1761912765</vt:lpwstr>
  </property>
</Properties>
</file>